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240" w:rsidRDefault="00A86AA2" w:rsidP="00A86AA2">
      <w:pPr>
        <w:spacing w:after="120"/>
        <w:rPr>
          <w:b/>
          <w:lang w:val="bg-BG"/>
        </w:rPr>
      </w:pPr>
      <w:bookmarkStart w:id="0" w:name="_GoBack"/>
      <w:bookmarkEnd w:id="0"/>
      <w:r>
        <w:rPr>
          <w:b/>
          <w:lang w:val="bg-BG"/>
        </w:rPr>
        <w:t>Изх. №</w:t>
      </w:r>
    </w:p>
    <w:p w:rsidR="00A86AA2" w:rsidRDefault="00A86AA2" w:rsidP="00A86AA2">
      <w:pPr>
        <w:spacing w:after="120"/>
        <w:rPr>
          <w:b/>
          <w:lang w:val="bg-BG"/>
        </w:rPr>
      </w:pPr>
    </w:p>
    <w:p w:rsidR="00534240" w:rsidRDefault="00534240" w:rsidP="00A86AA2">
      <w:pPr>
        <w:spacing w:after="0"/>
        <w:ind w:left="6206"/>
        <w:rPr>
          <w:b/>
          <w:lang w:val="bg-BG"/>
        </w:rPr>
      </w:pPr>
      <w:r>
        <w:rPr>
          <w:b/>
          <w:lang w:val="bg-BG"/>
        </w:rPr>
        <w:t>ДО</w:t>
      </w:r>
    </w:p>
    <w:p w:rsidR="00534240" w:rsidRDefault="00534240" w:rsidP="00A86AA2">
      <w:pPr>
        <w:spacing w:after="0"/>
        <w:ind w:left="6206"/>
        <w:rPr>
          <w:lang w:val="bg-BG"/>
        </w:rPr>
      </w:pPr>
      <w:r>
        <w:rPr>
          <w:lang w:val="bg-BG"/>
        </w:rPr>
        <w:t>БОЙКО БОРИСОВ</w:t>
      </w:r>
    </w:p>
    <w:p w:rsidR="00534240" w:rsidRDefault="00534240" w:rsidP="00A86AA2">
      <w:pPr>
        <w:spacing w:after="0"/>
        <w:ind w:left="6206"/>
        <w:rPr>
          <w:lang w:val="bg-BG"/>
        </w:rPr>
      </w:pPr>
      <w:r>
        <w:rPr>
          <w:lang w:val="bg-BG"/>
        </w:rPr>
        <w:t>МИНИСТЪР ПРЕДСЕДАТЕЛ</w:t>
      </w:r>
    </w:p>
    <w:p w:rsidR="00534240" w:rsidRDefault="00534240" w:rsidP="00A86AA2">
      <w:pPr>
        <w:spacing w:after="0"/>
        <w:ind w:left="6206"/>
        <w:rPr>
          <w:lang w:val="bg-BG"/>
        </w:rPr>
      </w:pPr>
      <w:r>
        <w:rPr>
          <w:lang w:val="bg-BG"/>
        </w:rPr>
        <w:t>НА РЕПУБЛИКА БЪЛГАРИЯ</w:t>
      </w:r>
    </w:p>
    <w:p w:rsidR="00E3509D" w:rsidRDefault="00E3509D" w:rsidP="00A86AA2">
      <w:pPr>
        <w:spacing w:after="0"/>
        <w:ind w:left="6206"/>
        <w:rPr>
          <w:lang w:val="bg-BG"/>
        </w:rPr>
      </w:pPr>
    </w:p>
    <w:p w:rsidR="00E3509D" w:rsidRDefault="00E3509D" w:rsidP="00A86AA2">
      <w:pPr>
        <w:spacing w:after="0"/>
        <w:ind w:left="6206"/>
        <w:rPr>
          <w:b/>
          <w:lang w:val="bg-BG"/>
        </w:rPr>
      </w:pPr>
      <w:r w:rsidRPr="00E3509D">
        <w:rPr>
          <w:b/>
          <w:lang w:val="bg-BG"/>
        </w:rPr>
        <w:t>КОПИЕ ДО</w:t>
      </w:r>
    </w:p>
    <w:p w:rsidR="003F347A" w:rsidRPr="003F347A" w:rsidRDefault="003F347A" w:rsidP="00A86AA2">
      <w:pPr>
        <w:spacing w:after="0"/>
        <w:ind w:left="6206"/>
        <w:rPr>
          <w:lang w:val="bg-BG"/>
        </w:rPr>
      </w:pPr>
      <w:r w:rsidRPr="003F347A">
        <w:rPr>
          <w:lang w:val="bg-BG"/>
        </w:rPr>
        <w:t>ЦВЕТА КАРАЯНЧЕВА</w:t>
      </w:r>
    </w:p>
    <w:p w:rsidR="003F347A" w:rsidRPr="003F347A" w:rsidRDefault="003F347A" w:rsidP="00A86AA2">
      <w:pPr>
        <w:spacing w:after="0"/>
        <w:ind w:left="6206"/>
        <w:rPr>
          <w:lang w:val="bg-BG"/>
        </w:rPr>
      </w:pPr>
      <w:r w:rsidRPr="003F347A">
        <w:rPr>
          <w:lang w:val="bg-BG"/>
        </w:rPr>
        <w:t>ПРЕДСЕДАТЕЛ НА НАРОДНОТО СЪБРАНИЕ НА РЕПУБЛИКА БЪЛГАРИЯ</w:t>
      </w:r>
    </w:p>
    <w:p w:rsidR="003F347A" w:rsidRPr="00E3509D" w:rsidRDefault="003F347A" w:rsidP="00A86AA2">
      <w:pPr>
        <w:spacing w:after="0"/>
        <w:ind w:left="6206"/>
        <w:rPr>
          <w:b/>
          <w:lang w:val="bg-BG"/>
        </w:rPr>
      </w:pPr>
    </w:p>
    <w:p w:rsidR="00E3509D" w:rsidRDefault="00E3509D" w:rsidP="00A86AA2">
      <w:pPr>
        <w:spacing w:after="0"/>
        <w:ind w:left="6206"/>
        <w:rPr>
          <w:lang w:val="bg-BG"/>
        </w:rPr>
      </w:pPr>
      <w:r>
        <w:rPr>
          <w:lang w:val="bg-BG"/>
        </w:rPr>
        <w:t>ТОМИСЛАВ ДОНЧЕВ</w:t>
      </w:r>
    </w:p>
    <w:p w:rsidR="00E3509D" w:rsidRDefault="00E3509D" w:rsidP="00A86AA2">
      <w:pPr>
        <w:spacing w:after="0"/>
        <w:ind w:left="6206"/>
        <w:rPr>
          <w:lang w:val="bg-BG"/>
        </w:rPr>
      </w:pPr>
      <w:r>
        <w:rPr>
          <w:lang w:val="bg-BG"/>
        </w:rPr>
        <w:t>ЗАМЕСТНИК МИНИСТЪР- ПРЕДСЕДАТЕЛ</w:t>
      </w:r>
    </w:p>
    <w:p w:rsidR="00E3509D" w:rsidRDefault="00E3509D" w:rsidP="00A86AA2">
      <w:pPr>
        <w:spacing w:after="0"/>
        <w:ind w:left="6206"/>
        <w:rPr>
          <w:lang w:val="bg-BG"/>
        </w:rPr>
      </w:pPr>
      <w:r>
        <w:rPr>
          <w:lang w:val="bg-BG"/>
        </w:rPr>
        <w:t>НА РЕПУБЛИКА БЪЛГАРИЯ</w:t>
      </w:r>
    </w:p>
    <w:p w:rsidR="00334E5E" w:rsidRDefault="00334E5E" w:rsidP="00A86AA2">
      <w:pPr>
        <w:spacing w:after="0"/>
        <w:ind w:left="6206"/>
        <w:rPr>
          <w:lang w:val="bg-BG"/>
        </w:rPr>
      </w:pPr>
    </w:p>
    <w:p w:rsidR="00334E5E" w:rsidRDefault="00334E5E" w:rsidP="00A86AA2">
      <w:pPr>
        <w:spacing w:after="0"/>
        <w:ind w:left="6206"/>
        <w:rPr>
          <w:lang w:val="bg-BG"/>
        </w:rPr>
      </w:pPr>
      <w:r>
        <w:rPr>
          <w:lang w:val="bg-BG"/>
        </w:rPr>
        <w:t>МЛАДЕН МАРИНОВ</w:t>
      </w:r>
    </w:p>
    <w:p w:rsidR="00334E5E" w:rsidRDefault="00334E5E" w:rsidP="00A86AA2">
      <w:pPr>
        <w:spacing w:after="0"/>
        <w:ind w:left="6206"/>
        <w:rPr>
          <w:lang w:val="bg-BG"/>
        </w:rPr>
      </w:pPr>
      <w:r>
        <w:rPr>
          <w:lang w:val="bg-BG"/>
        </w:rPr>
        <w:t>МИНИСТЪР НА ВЪТРЕШНИТЕ РАБОТИ</w:t>
      </w:r>
    </w:p>
    <w:p w:rsidR="00E3509D" w:rsidRDefault="00E3509D" w:rsidP="00A86AA2">
      <w:pPr>
        <w:spacing w:after="0"/>
        <w:ind w:left="6206"/>
        <w:rPr>
          <w:lang w:val="bg-BG"/>
        </w:rPr>
      </w:pPr>
    </w:p>
    <w:p w:rsidR="00E3509D" w:rsidRDefault="00E3509D" w:rsidP="00A86AA2">
      <w:pPr>
        <w:spacing w:after="0"/>
        <w:ind w:left="6206"/>
        <w:rPr>
          <w:lang w:val="bg-BG"/>
        </w:rPr>
      </w:pPr>
      <w:r>
        <w:rPr>
          <w:lang w:val="bg-BG"/>
        </w:rPr>
        <w:t>БИСЕР ПЕТКОВ</w:t>
      </w:r>
    </w:p>
    <w:p w:rsidR="00E3509D" w:rsidRDefault="00E3509D" w:rsidP="00A86AA2">
      <w:pPr>
        <w:spacing w:after="0"/>
        <w:ind w:left="6206"/>
        <w:rPr>
          <w:lang w:val="bg-BG"/>
        </w:rPr>
      </w:pPr>
      <w:r>
        <w:rPr>
          <w:lang w:val="bg-BG"/>
        </w:rPr>
        <w:t>МИНИСТЪР НА ТРУДА И СОЦИАЛНАТА ПОЛИТИКА</w:t>
      </w:r>
    </w:p>
    <w:p w:rsidR="00E3509D" w:rsidRDefault="00E3509D" w:rsidP="00A86AA2">
      <w:pPr>
        <w:spacing w:after="0"/>
        <w:ind w:left="6206"/>
        <w:rPr>
          <w:lang w:val="bg-BG"/>
        </w:rPr>
      </w:pPr>
    </w:p>
    <w:p w:rsidR="00E3509D" w:rsidRDefault="00E3509D" w:rsidP="00A86AA2">
      <w:pPr>
        <w:spacing w:after="0"/>
        <w:ind w:left="6206"/>
        <w:rPr>
          <w:lang w:val="bg-BG"/>
        </w:rPr>
      </w:pPr>
      <w:r>
        <w:rPr>
          <w:lang w:val="bg-BG"/>
        </w:rPr>
        <w:t>КРАСИМИР ВЪЛЧЕВ</w:t>
      </w:r>
    </w:p>
    <w:p w:rsidR="00E3509D" w:rsidRDefault="00E3509D" w:rsidP="00A86AA2">
      <w:pPr>
        <w:spacing w:after="0"/>
        <w:ind w:left="6206"/>
        <w:rPr>
          <w:lang w:val="bg-BG"/>
        </w:rPr>
      </w:pPr>
      <w:r>
        <w:rPr>
          <w:lang w:val="bg-BG"/>
        </w:rPr>
        <w:t>МИНИСТЪР НА ОБРАЗОВАНИЕТО</w:t>
      </w:r>
    </w:p>
    <w:p w:rsidR="00E3509D" w:rsidRDefault="00E3509D" w:rsidP="00A86AA2">
      <w:pPr>
        <w:spacing w:after="0"/>
        <w:ind w:left="6206"/>
        <w:rPr>
          <w:lang w:val="bg-BG"/>
        </w:rPr>
      </w:pPr>
    </w:p>
    <w:p w:rsidR="00E3509D" w:rsidRDefault="00334E5E" w:rsidP="00A86AA2">
      <w:pPr>
        <w:spacing w:after="0"/>
        <w:ind w:left="6206"/>
        <w:rPr>
          <w:lang w:val="bg-BG"/>
        </w:rPr>
      </w:pPr>
      <w:r>
        <w:rPr>
          <w:lang w:val="bg-BG"/>
        </w:rPr>
        <w:t>СОТИР ЦАЦАРОВ</w:t>
      </w:r>
    </w:p>
    <w:p w:rsidR="00334E5E" w:rsidRDefault="00334E5E" w:rsidP="00A86AA2">
      <w:pPr>
        <w:spacing w:after="0"/>
        <w:ind w:left="6206"/>
        <w:rPr>
          <w:lang w:val="bg-BG"/>
        </w:rPr>
      </w:pPr>
      <w:r>
        <w:rPr>
          <w:lang w:val="bg-BG"/>
        </w:rPr>
        <w:t xml:space="preserve">ГЛАВЕН ПРОКУРОР </w:t>
      </w:r>
    </w:p>
    <w:p w:rsidR="00334E5E" w:rsidRDefault="00334E5E" w:rsidP="00A86AA2">
      <w:pPr>
        <w:spacing w:after="0"/>
        <w:ind w:left="6206"/>
        <w:rPr>
          <w:lang w:val="bg-BG"/>
        </w:rPr>
      </w:pPr>
      <w:r>
        <w:rPr>
          <w:lang w:val="bg-BG"/>
        </w:rPr>
        <w:t>НА РЕПУБЛИКА БЪЛГАРИЯ</w:t>
      </w:r>
    </w:p>
    <w:p w:rsidR="00AC3F7B" w:rsidRDefault="00AC3F7B" w:rsidP="00A86AA2">
      <w:pPr>
        <w:spacing w:after="0"/>
        <w:ind w:left="6206"/>
        <w:rPr>
          <w:lang w:val="bg-BG"/>
        </w:rPr>
      </w:pPr>
    </w:p>
    <w:p w:rsidR="00AC3F7B" w:rsidRDefault="00AC3F7B" w:rsidP="00AC3F7B">
      <w:pPr>
        <w:spacing w:after="0"/>
        <w:ind w:left="6206"/>
        <w:rPr>
          <w:lang w:val="bg-BG"/>
        </w:rPr>
      </w:pPr>
      <w:r>
        <w:rPr>
          <w:lang w:val="bg-BG"/>
        </w:rPr>
        <w:t>ДИМИТЪР ГЕОРГИЕВ</w:t>
      </w:r>
    </w:p>
    <w:p w:rsidR="00AC3F7B" w:rsidRDefault="00AC3F7B" w:rsidP="00AC3F7B">
      <w:pPr>
        <w:spacing w:after="0"/>
        <w:ind w:left="6206"/>
        <w:rPr>
          <w:lang w:val="bg-BG"/>
        </w:rPr>
      </w:pPr>
      <w:r>
        <w:rPr>
          <w:lang w:val="bg-BG"/>
        </w:rPr>
        <w:t>ПРЕДСЕДАТЕЛ НА ДЪРЖАВНА АГЕНЦИЯ „НАЦИОНАЛНА СИГУРНОСТ“</w:t>
      </w:r>
    </w:p>
    <w:p w:rsidR="00534240" w:rsidRDefault="00534240" w:rsidP="00534240">
      <w:pPr>
        <w:rPr>
          <w:lang w:val="bg-BG"/>
        </w:rPr>
      </w:pPr>
    </w:p>
    <w:p w:rsidR="00534240" w:rsidRDefault="00534240" w:rsidP="00534240">
      <w:pPr>
        <w:jc w:val="both"/>
        <w:rPr>
          <w:i/>
          <w:lang w:val="bg-BG"/>
        </w:rPr>
      </w:pPr>
      <w:r>
        <w:rPr>
          <w:i/>
          <w:lang w:val="bg-BG"/>
        </w:rPr>
        <w:t>Относно: Необходимост от спешни действия за противодействие на пропагандата и дезинформацията срещу държавните политики за децата и семействата в България и разясняване на тези политики на гражданите.</w:t>
      </w:r>
    </w:p>
    <w:p w:rsidR="00534240" w:rsidRDefault="00534240" w:rsidP="00534240">
      <w:pPr>
        <w:rPr>
          <w:i/>
          <w:lang w:val="bg-BG"/>
        </w:rPr>
      </w:pPr>
    </w:p>
    <w:p w:rsidR="00534240" w:rsidRDefault="00534240" w:rsidP="00534240">
      <w:pPr>
        <w:rPr>
          <w:b/>
          <w:i/>
          <w:lang w:val="bg-BG"/>
        </w:rPr>
      </w:pPr>
      <w:r>
        <w:rPr>
          <w:b/>
          <w:i/>
          <w:lang w:val="bg-BG"/>
        </w:rPr>
        <w:t xml:space="preserve">Уважаеми г-н Борисов, </w:t>
      </w:r>
    </w:p>
    <w:p w:rsidR="00534240" w:rsidRDefault="00534240" w:rsidP="00534240">
      <w:pPr>
        <w:jc w:val="both"/>
        <w:rPr>
          <w:lang w:val="bg-BG"/>
        </w:rPr>
      </w:pPr>
      <w:r>
        <w:rPr>
          <w:lang w:val="bg-BG"/>
        </w:rPr>
        <w:t xml:space="preserve">От началото на 2019 година ставаме свидетели на непрестанен поток от фалшиви новини, дезинформация и пропаганда, които объркват, тревожат и притискат българските родители, до момента в който миналата седмица се стигна до масово взимане на деца от училище от техните родители в няколко български града и села. </w:t>
      </w:r>
    </w:p>
    <w:p w:rsidR="00534240" w:rsidRDefault="00534240" w:rsidP="00534240">
      <w:pPr>
        <w:jc w:val="both"/>
        <w:rPr>
          <w:lang w:val="bg-BG"/>
        </w:rPr>
      </w:pPr>
      <w:r>
        <w:rPr>
          <w:lang w:val="bg-BG"/>
        </w:rPr>
        <w:t xml:space="preserve">Смятаме, че този момент, в който </w:t>
      </w:r>
      <w:r>
        <w:rPr>
          <w:b/>
          <w:lang w:val="bg-BG"/>
        </w:rPr>
        <w:t>пропагандата и дезинформацията доведоха до пряко посегателство, осъществено срещу основно право на децата</w:t>
      </w:r>
      <w:r>
        <w:rPr>
          <w:lang w:val="bg-BG"/>
        </w:rPr>
        <w:t xml:space="preserve"> – правото на образование, както и срещу правото на родителите да отглеждат спокойно децата си и да ги подкрепят в обучението им, трябва да е последният, в който оставяме без последствия систематичните атаки срещу политиката, насочена към благосъстоянието на децата и семействата в България. </w:t>
      </w:r>
    </w:p>
    <w:p w:rsidR="00534240" w:rsidRDefault="00534240" w:rsidP="00534240">
      <w:pPr>
        <w:jc w:val="both"/>
        <w:rPr>
          <w:lang w:val="bg-BG"/>
        </w:rPr>
      </w:pPr>
      <w:r>
        <w:rPr>
          <w:lang w:val="bg-BG"/>
        </w:rPr>
        <w:t>Кампанията срещу детските политики не води началото си от изминалата седмица. В социалните мрежи (</w:t>
      </w:r>
      <w:r>
        <w:t xml:space="preserve">Facebook) </w:t>
      </w:r>
      <w:r>
        <w:rPr>
          <w:lang w:val="bg-BG"/>
        </w:rPr>
        <w:t>има група с близо 200 000 последователи, стартирала в началото на 2019, в която ежедневно се разпространяват десетки материали – клипове, статии, тълкувания на законови норми, едностранчиво представени случаи и призиви към спиране на заплахите за българското семейство, каквито са законите и държавните политики за децата, разглеждани като „анти-семейни“. Тиражират се манипулативно описани случаи на извеждане на деца, в които се смесват полуистини и неверни факти. Анализът на групата показва, че публикуването и споделянето на тези материали най-често е действие на едни и същи хора, които са под 1% от членовете на групата</w:t>
      </w:r>
      <w:r>
        <w:rPr>
          <w:rStyle w:val="FootnoteReference"/>
          <w:lang w:val="bg-BG"/>
        </w:rPr>
        <w:footnoteReference w:id="1"/>
      </w:r>
      <w:r>
        <w:rPr>
          <w:lang w:val="bg-BG"/>
        </w:rPr>
        <w:t xml:space="preserve">. Нещо повече, видима е и ясна връзка между провежданата пропаганда и радикални религиозни общности, като за вариации на „бог“ се споменават във всяка трета публикация, в повечето – по повече от веднъж. Не на последно място, сред основните говорители, разпространяващи този тип материали в публичното пространство и сред местните общности, са и държавни служители и представители на политически партии. Особено активни бяха тези кампании, включително с организирането на протести срещу същите тези „анти-семейни“ политики в дните преди европейските избори; днес, в предизборния период на местните избори, наблюдаваме същото. </w:t>
      </w:r>
    </w:p>
    <w:p w:rsidR="00534240" w:rsidRDefault="00534240" w:rsidP="00534240">
      <w:pPr>
        <w:jc w:val="both"/>
        <w:rPr>
          <w:lang w:val="bg-BG"/>
        </w:rPr>
      </w:pPr>
      <w:r>
        <w:rPr>
          <w:lang w:val="bg-BG"/>
        </w:rPr>
        <w:lastRenderedPageBreak/>
        <w:t xml:space="preserve">Наред с това, за да бъдем обективни, трябва да подчертаем, че </w:t>
      </w:r>
      <w:r>
        <w:rPr>
          <w:b/>
          <w:lang w:val="bg-BG"/>
        </w:rPr>
        <w:t>системата за закрила на детето има нужда от спешна реформа, за което ние алармираме от повече от десет години</w:t>
      </w:r>
      <w:r>
        <w:rPr>
          <w:lang w:val="bg-BG"/>
        </w:rPr>
        <w:t>. Слабостите на системата предпоставят грешки, които удобно биват използвани в кампаниите против държавните политики за децата. Тези случаи представляват и изключително удобна възможност за създаване на съдебна практика и трупане на имидж на „спасители“ от отделни адвокати. Причината е, че добре организираното дело срещу отдел „Закрила на детето“ (ОЗД) има големи шансове да спечели поради чести процесуални нарушения, дължащи се на ниския капацитет на системата и липсата на подходящо квалифицирани адвокати, които да защитават решенията на Отделите в съд</w:t>
      </w:r>
      <w:r w:rsidR="000B22A8">
        <w:rPr>
          <w:lang w:val="bg-BG"/>
        </w:rPr>
        <w:t xml:space="preserve">а. Заведено в подходящото време, то </w:t>
      </w:r>
      <w:r>
        <w:rPr>
          <w:lang w:val="bg-BG"/>
        </w:rPr>
        <w:t>може да се превърне в знаково и по този начин да допринесе съществено за успеха на кампаниите против държавните детски политики. Наред с ниската степен на познаване на начина, по който системата за закрила работи, се създава подходяща среда за създаване на масова психоза и привличане на съмишленици в протестите срещу детските политики и демократичната държава.</w:t>
      </w:r>
    </w:p>
    <w:p w:rsidR="00534240" w:rsidRDefault="00534240" w:rsidP="00534240">
      <w:pPr>
        <w:jc w:val="both"/>
        <w:rPr>
          <w:lang w:val="bg-BG"/>
        </w:rPr>
      </w:pPr>
      <w:r>
        <w:rPr>
          <w:lang w:val="bg-BG"/>
        </w:rPr>
        <w:t>Крайно време е да обърнем внимание на факта, че тази кампания не само представлява игра със страховете и тревожността на българските родители – тя е игра със съдбата на деца и семейства. За първата половина на 2018 година</w:t>
      </w:r>
      <w:r>
        <w:t xml:space="preserve"> 30</w:t>
      </w:r>
      <w:r>
        <w:rPr>
          <w:lang w:val="bg-BG"/>
        </w:rPr>
        <w:t xml:space="preserve"> деца са жертви на убийство или друг вид причиняване на смърт, като 26 от тях са малолетни; 241 деца са жертви на блудство, изнасилване и други сексуални посегателства</w:t>
      </w:r>
      <w:r>
        <w:rPr>
          <w:rStyle w:val="FootnoteReference"/>
          <w:lang w:val="bg-BG"/>
        </w:rPr>
        <w:footnoteReference w:id="2"/>
      </w:r>
      <w:r>
        <w:rPr>
          <w:lang w:val="bg-BG"/>
        </w:rPr>
        <w:t xml:space="preserve">.  Само през лятото на 2019 година има два знакови трагични случая на деца, жертви на убийство, за които говори цялата страна. През това време, вместо на активен обществен и политически диалог за това как да предотвратим тези случаи и да вървим към цялостна политика за подкрепа на децата и семействата, ние сме свидетели на активна кампания, използваща средствата на манипулацията, фалшивите новини и дезинформацията, която </w:t>
      </w:r>
      <w:r>
        <w:rPr>
          <w:b/>
          <w:lang w:val="bg-BG"/>
        </w:rPr>
        <w:t>подвежда хиляди родители и граждани с несъществуващи промени в законодателството и ги плаши с последствията от тях</w:t>
      </w:r>
      <w:r>
        <w:rPr>
          <w:lang w:val="bg-BG"/>
        </w:rPr>
        <w:t xml:space="preserve">. Смятаме, че на този етап не може да има съмнение, че </w:t>
      </w:r>
      <w:proofErr w:type="spellStart"/>
      <w:r>
        <w:t>не</w:t>
      </w:r>
      <w:proofErr w:type="spellEnd"/>
      <w:r>
        <w:t xml:space="preserve"> </w:t>
      </w:r>
      <w:proofErr w:type="spellStart"/>
      <w:r>
        <w:t>става</w:t>
      </w:r>
      <w:proofErr w:type="spellEnd"/>
      <w:r>
        <w:t xml:space="preserve"> </w:t>
      </w:r>
      <w:proofErr w:type="spellStart"/>
      <w:r>
        <w:t>въпрос</w:t>
      </w:r>
      <w:proofErr w:type="spellEnd"/>
      <w:r>
        <w:t xml:space="preserve"> за </w:t>
      </w:r>
      <w:proofErr w:type="spellStart"/>
      <w:r>
        <w:t>сблъсък</w:t>
      </w:r>
      <w:proofErr w:type="spellEnd"/>
      <w:r>
        <w:t xml:space="preserve"> на </w:t>
      </w:r>
      <w:proofErr w:type="spellStart"/>
      <w:r>
        <w:t>идеологии</w:t>
      </w:r>
      <w:proofErr w:type="spellEnd"/>
      <w:r>
        <w:t xml:space="preserve">, а за </w:t>
      </w:r>
      <w:proofErr w:type="spellStart"/>
      <w:r>
        <w:t>организирана</w:t>
      </w:r>
      <w:proofErr w:type="spellEnd"/>
      <w:r>
        <w:t xml:space="preserve"> </w:t>
      </w:r>
      <w:proofErr w:type="spellStart"/>
      <w:r>
        <w:t>съпротива</w:t>
      </w:r>
      <w:proofErr w:type="spellEnd"/>
      <w:r>
        <w:t xml:space="preserve"> </w:t>
      </w:r>
      <w:proofErr w:type="spellStart"/>
      <w:r>
        <w:t>срещу</w:t>
      </w:r>
      <w:proofErr w:type="spellEnd"/>
      <w:r>
        <w:t xml:space="preserve"> </w:t>
      </w:r>
      <w:proofErr w:type="spellStart"/>
      <w:r>
        <w:t>политиката</w:t>
      </w:r>
      <w:proofErr w:type="spellEnd"/>
      <w:r>
        <w:t xml:space="preserve"> на </w:t>
      </w:r>
      <w:proofErr w:type="spellStart"/>
      <w:r>
        <w:t>легитимните</w:t>
      </w:r>
      <w:proofErr w:type="spellEnd"/>
      <w:r>
        <w:t xml:space="preserve"> </w:t>
      </w:r>
      <w:proofErr w:type="spellStart"/>
      <w:r>
        <w:t>институции</w:t>
      </w:r>
      <w:proofErr w:type="spellEnd"/>
      <w:r>
        <w:t xml:space="preserve"> на </w:t>
      </w:r>
      <w:proofErr w:type="spellStart"/>
      <w:r>
        <w:t>държавата</w:t>
      </w:r>
      <w:proofErr w:type="spellEnd"/>
      <w:r>
        <w:t xml:space="preserve">, а </w:t>
      </w:r>
      <w:proofErr w:type="spellStart"/>
      <w:r>
        <w:t>така</w:t>
      </w:r>
      <w:proofErr w:type="spellEnd"/>
      <w:r>
        <w:t xml:space="preserve"> </w:t>
      </w:r>
      <w:proofErr w:type="spellStart"/>
      <w:r>
        <w:t>също</w:t>
      </w:r>
      <w:proofErr w:type="spellEnd"/>
      <w:r>
        <w:t xml:space="preserve"> и за </w:t>
      </w:r>
      <w:proofErr w:type="spellStart"/>
      <w:r>
        <w:t>практически</w:t>
      </w:r>
      <w:proofErr w:type="spellEnd"/>
      <w:r>
        <w:t xml:space="preserve"> </w:t>
      </w:r>
      <w:proofErr w:type="spellStart"/>
      <w:r>
        <w:t>подривни</w:t>
      </w:r>
      <w:proofErr w:type="spellEnd"/>
      <w:r>
        <w:t xml:space="preserve"> </w:t>
      </w:r>
      <w:proofErr w:type="spellStart"/>
      <w:r>
        <w:t>действия</w:t>
      </w:r>
      <w:proofErr w:type="spellEnd"/>
      <w:r>
        <w:t xml:space="preserve"> с </w:t>
      </w:r>
      <w:proofErr w:type="spellStart"/>
      <w:r>
        <w:t>потенциал</w:t>
      </w:r>
      <w:proofErr w:type="spellEnd"/>
      <w:r>
        <w:t xml:space="preserve"> </w:t>
      </w:r>
      <w:proofErr w:type="spellStart"/>
      <w:r>
        <w:t>да</w:t>
      </w:r>
      <w:proofErr w:type="spellEnd"/>
      <w:r>
        <w:t xml:space="preserve"> </w:t>
      </w:r>
      <w:proofErr w:type="spellStart"/>
      <w:r>
        <w:t>имат</w:t>
      </w:r>
      <w:proofErr w:type="spellEnd"/>
      <w:r>
        <w:t xml:space="preserve"> </w:t>
      </w:r>
      <w:proofErr w:type="spellStart"/>
      <w:r>
        <w:t>характер</w:t>
      </w:r>
      <w:proofErr w:type="spellEnd"/>
      <w:r>
        <w:t xml:space="preserve"> на </w:t>
      </w:r>
      <w:proofErr w:type="spellStart"/>
      <w:r>
        <w:t>престъпления</w:t>
      </w:r>
      <w:proofErr w:type="spellEnd"/>
      <w:r>
        <w:rPr>
          <w:lang w:val="bg-BG"/>
        </w:rPr>
        <w:t>.</w:t>
      </w:r>
    </w:p>
    <w:p w:rsidR="00534240" w:rsidRDefault="00534240" w:rsidP="00534240">
      <w:pPr>
        <w:jc w:val="both"/>
        <w:rPr>
          <w:lang w:val="bg-BG"/>
        </w:rPr>
      </w:pPr>
      <w:r>
        <w:rPr>
          <w:lang w:val="bg-BG"/>
        </w:rPr>
        <w:t xml:space="preserve">Ние от Национална мрежа за децата заедно с други неправителствени организации, </w:t>
      </w:r>
      <w:r>
        <w:rPr>
          <w:b/>
          <w:lang w:val="bg-BG"/>
        </w:rPr>
        <w:t>подкрепяме между 74 000 и 90 000 деца и десетки хиляди семейства годишно</w:t>
      </w:r>
      <w:r>
        <w:rPr>
          <w:lang w:val="bg-BG"/>
        </w:rPr>
        <w:t xml:space="preserve"> и привличаме стотици хиляди левове в България като инвестиции за осигуряването на тази подкрепа. Днес ние сме принудени да се противопоставяме непрестанно на масираната дезинформация, манипулация и агресия срещу политиките за децата и семействата. Кампаниите доведоха до атаки срещу Националната телефонна линия за деца, на която годишно търсят помощ стотици деца и още повече родители. Преди седмици бяхме свидетели на организиран „протест“ пред услуга, управлявана от неправителствена организация, работеща директно с възрастни и деца, </w:t>
      </w:r>
      <w:r>
        <w:rPr>
          <w:lang w:val="bg-BG"/>
        </w:rPr>
        <w:lastRenderedPageBreak/>
        <w:t xml:space="preserve">жертви на насилие. В социалните медии и общественото пространство непрестанно се тиражират обвинения, внушения и откровени лъжи, насочени към дискредитиране на работата на организации и конкретни личности. Тези процеси застрашават както гражданската активност, така и помощта и подкрепата, която всички ние осигуряваме ежедневно на хиляди български деца и родители. </w:t>
      </w:r>
    </w:p>
    <w:p w:rsidR="00534240" w:rsidRDefault="00534240" w:rsidP="00534240">
      <w:pPr>
        <w:jc w:val="both"/>
        <w:rPr>
          <w:lang w:val="bg-BG"/>
        </w:rPr>
      </w:pPr>
      <w:r>
        <w:rPr>
          <w:lang w:val="bg-BG"/>
        </w:rPr>
        <w:t xml:space="preserve">Неколкократно призовавахме държавните институции да противодействат на подбудителите на тази масова истерия и да извадят на светло манипулациите, както и да разследват източниците на далеч стигналата дезинформационна кампания. Тя руши доверието към институциите и към държавата изобщо. А доверието в институциите е ключово за функционирането на демократичната държава в полза на гражданите й. Случаите от последната седмица с опразването на класните стаи, добре илюстрират как изглежда една система, която е загубила доверието на потребителите си. А става въпрос за деца, осигуряването на образованието на които, е конституционно задължение на държавата. Опасяваме се, че </w:t>
      </w:r>
      <w:r>
        <w:rPr>
          <w:b/>
          <w:lang w:val="bg-BG"/>
        </w:rPr>
        <w:t>липсата на предприети действия за противодействие на масовата психоза ще доведат до необратими последствия за стабилността на политиките</w:t>
      </w:r>
      <w:r>
        <w:rPr>
          <w:lang w:val="bg-BG"/>
        </w:rPr>
        <w:t xml:space="preserve">, насочени към децата и семействата, както и </w:t>
      </w:r>
      <w:r>
        <w:rPr>
          <w:b/>
          <w:lang w:val="bg-BG"/>
        </w:rPr>
        <w:t>ще разрушат невъзвратимо доверието в държавните институции, които провеждат тези политики</w:t>
      </w:r>
      <w:r>
        <w:rPr>
          <w:lang w:val="bg-BG"/>
        </w:rPr>
        <w:t>. Отново подчертаваме</w:t>
      </w:r>
      <w:r>
        <w:t xml:space="preserve">, </w:t>
      </w:r>
      <w:proofErr w:type="spellStart"/>
      <w:r>
        <w:t>че</w:t>
      </w:r>
      <w:proofErr w:type="spellEnd"/>
      <w:r>
        <w:t xml:space="preserve"> </w:t>
      </w:r>
      <w:proofErr w:type="spellStart"/>
      <w:r>
        <w:t>тези</w:t>
      </w:r>
      <w:proofErr w:type="spellEnd"/>
      <w:r>
        <w:t xml:space="preserve"> </w:t>
      </w:r>
      <w:proofErr w:type="spellStart"/>
      <w:r>
        <w:t>органи</w:t>
      </w:r>
      <w:proofErr w:type="spellEnd"/>
      <w:r>
        <w:t xml:space="preserve"> </w:t>
      </w:r>
      <w:proofErr w:type="spellStart"/>
      <w:r>
        <w:t>получават</w:t>
      </w:r>
      <w:proofErr w:type="spellEnd"/>
      <w:r>
        <w:t xml:space="preserve"> </w:t>
      </w:r>
      <w:proofErr w:type="spellStart"/>
      <w:r>
        <w:t>нашите</w:t>
      </w:r>
      <w:proofErr w:type="spellEnd"/>
      <w:r>
        <w:t xml:space="preserve"> </w:t>
      </w:r>
      <w:proofErr w:type="spellStart"/>
      <w:r>
        <w:t>конкретни</w:t>
      </w:r>
      <w:proofErr w:type="spellEnd"/>
      <w:r>
        <w:t xml:space="preserve"> </w:t>
      </w:r>
      <w:proofErr w:type="spellStart"/>
      <w:r>
        <w:t>сигнали</w:t>
      </w:r>
      <w:proofErr w:type="spellEnd"/>
      <w:r>
        <w:rPr>
          <w:lang w:val="bg-BG"/>
        </w:rPr>
        <w:t xml:space="preserve"> както за провеждане на пропаганда в заплаха за националната сигурност, така и за </w:t>
      </w:r>
      <w:r>
        <w:rPr>
          <w:b/>
          <w:lang w:val="bg-BG"/>
        </w:rPr>
        <w:t>отправяне на</w:t>
      </w:r>
      <w:r>
        <w:rPr>
          <w:b/>
        </w:rPr>
        <w:t xml:space="preserve"> </w:t>
      </w:r>
      <w:proofErr w:type="spellStart"/>
      <w:r>
        <w:rPr>
          <w:b/>
        </w:rPr>
        <w:t>заплахи</w:t>
      </w:r>
      <w:proofErr w:type="spellEnd"/>
      <w:r>
        <w:rPr>
          <w:b/>
        </w:rPr>
        <w:t xml:space="preserve"> и </w:t>
      </w:r>
      <w:proofErr w:type="spellStart"/>
      <w:r>
        <w:rPr>
          <w:b/>
        </w:rPr>
        <w:t>преследване</w:t>
      </w:r>
      <w:proofErr w:type="spellEnd"/>
      <w:r>
        <w:rPr>
          <w:b/>
        </w:rPr>
        <w:t xml:space="preserve"> на </w:t>
      </w:r>
      <w:r>
        <w:rPr>
          <w:b/>
          <w:lang w:val="bg-BG"/>
        </w:rPr>
        <w:t>конкретни хора, работещи за правата на децата, от началото на 2019 година</w:t>
      </w:r>
      <w:r>
        <w:t>.</w:t>
      </w:r>
    </w:p>
    <w:p w:rsidR="00534240" w:rsidRDefault="00534240" w:rsidP="00534240">
      <w:pPr>
        <w:jc w:val="both"/>
        <w:rPr>
          <w:lang w:val="bg-BG"/>
        </w:rPr>
      </w:pPr>
      <w:r>
        <w:rPr>
          <w:lang w:val="bg-BG"/>
        </w:rPr>
        <w:t xml:space="preserve">В този контекст, </w:t>
      </w:r>
      <w:r>
        <w:rPr>
          <w:b/>
          <w:lang w:val="bg-BG"/>
        </w:rPr>
        <w:t xml:space="preserve">отново призоваваме правителството и по-конкретно Министерство на вътрешните работи и Държавна агенция </w:t>
      </w:r>
      <w:r w:rsidR="00334E5E">
        <w:rPr>
          <w:b/>
          <w:lang w:val="bg-BG"/>
        </w:rPr>
        <w:t>„Н</w:t>
      </w:r>
      <w:r>
        <w:rPr>
          <w:b/>
          <w:lang w:val="bg-BG"/>
        </w:rPr>
        <w:t>ационална сигурност</w:t>
      </w:r>
      <w:r w:rsidR="00334E5E">
        <w:rPr>
          <w:b/>
          <w:lang w:val="bg-BG"/>
        </w:rPr>
        <w:t>“</w:t>
      </w:r>
      <w:r>
        <w:rPr>
          <w:b/>
          <w:lang w:val="bg-BG"/>
        </w:rPr>
        <w:t>, заедно с Прокуратурата да доведат докрай разследването на авторите на тези действия</w:t>
      </w:r>
      <w:r>
        <w:rPr>
          <w:lang w:val="bg-BG"/>
        </w:rPr>
        <w:t xml:space="preserve">. Вярваме, че </w:t>
      </w:r>
      <w:proofErr w:type="spellStart"/>
      <w:r>
        <w:t>масовата</w:t>
      </w:r>
      <w:proofErr w:type="spellEnd"/>
      <w:r>
        <w:t xml:space="preserve"> </w:t>
      </w:r>
      <w:proofErr w:type="spellStart"/>
      <w:r>
        <w:t>психоза</w:t>
      </w:r>
      <w:proofErr w:type="spellEnd"/>
      <w:r>
        <w:t xml:space="preserve"> и </w:t>
      </w:r>
      <w:proofErr w:type="spellStart"/>
      <w:r>
        <w:t>паническото</w:t>
      </w:r>
      <w:proofErr w:type="spellEnd"/>
      <w:r>
        <w:t xml:space="preserve"> </w:t>
      </w:r>
      <w:proofErr w:type="spellStart"/>
      <w:r>
        <w:t>извеждане</w:t>
      </w:r>
      <w:proofErr w:type="spellEnd"/>
      <w:r>
        <w:t xml:space="preserve"> на </w:t>
      </w:r>
      <w:proofErr w:type="spellStart"/>
      <w:r>
        <w:t>деца</w:t>
      </w:r>
      <w:proofErr w:type="spellEnd"/>
      <w:r>
        <w:t xml:space="preserve"> от </w:t>
      </w:r>
      <w:proofErr w:type="spellStart"/>
      <w:r>
        <w:t>училища</w:t>
      </w:r>
      <w:proofErr w:type="spellEnd"/>
      <w:r>
        <w:t xml:space="preserve"> е </w:t>
      </w:r>
      <w:proofErr w:type="spellStart"/>
      <w:r>
        <w:t>доказателство</w:t>
      </w:r>
      <w:proofErr w:type="spellEnd"/>
      <w:r>
        <w:t xml:space="preserve"> за </w:t>
      </w:r>
      <w:proofErr w:type="spellStart"/>
      <w:r>
        <w:t>създадената</w:t>
      </w:r>
      <w:proofErr w:type="spellEnd"/>
      <w:r>
        <w:t xml:space="preserve"> </w:t>
      </w:r>
      <w:proofErr w:type="spellStart"/>
      <w:r>
        <w:t>сериозна</w:t>
      </w:r>
      <w:proofErr w:type="spellEnd"/>
      <w:r>
        <w:t xml:space="preserve"> </w:t>
      </w:r>
      <w:proofErr w:type="spellStart"/>
      <w:r>
        <w:t>организация</w:t>
      </w:r>
      <w:proofErr w:type="spellEnd"/>
      <w:r>
        <w:t xml:space="preserve">, </w:t>
      </w:r>
      <w:proofErr w:type="spellStart"/>
      <w:r>
        <w:t>която</w:t>
      </w:r>
      <w:proofErr w:type="spellEnd"/>
      <w:r>
        <w:t xml:space="preserve"> </w:t>
      </w:r>
      <w:proofErr w:type="spellStart"/>
      <w:r>
        <w:t>работи</w:t>
      </w:r>
      <w:proofErr w:type="spellEnd"/>
      <w:r>
        <w:t xml:space="preserve"> </w:t>
      </w:r>
      <w:proofErr w:type="spellStart"/>
      <w:r>
        <w:t>срещу</w:t>
      </w:r>
      <w:proofErr w:type="spellEnd"/>
      <w:r>
        <w:t xml:space="preserve"> </w:t>
      </w:r>
      <w:proofErr w:type="spellStart"/>
      <w:r>
        <w:t>правата</w:t>
      </w:r>
      <w:proofErr w:type="spellEnd"/>
      <w:r>
        <w:t xml:space="preserve"> на </w:t>
      </w:r>
      <w:proofErr w:type="spellStart"/>
      <w:r>
        <w:t>децата</w:t>
      </w:r>
      <w:proofErr w:type="spellEnd"/>
      <w:r>
        <w:t xml:space="preserve"> и </w:t>
      </w:r>
      <w:proofErr w:type="spellStart"/>
      <w:r>
        <w:t>техните</w:t>
      </w:r>
      <w:proofErr w:type="spellEnd"/>
      <w:r>
        <w:t xml:space="preserve"> </w:t>
      </w:r>
      <w:proofErr w:type="spellStart"/>
      <w:r>
        <w:t>семейства</w:t>
      </w:r>
      <w:proofErr w:type="spellEnd"/>
      <w:r>
        <w:t xml:space="preserve">, </w:t>
      </w:r>
      <w:proofErr w:type="spellStart"/>
      <w:r>
        <w:t>както</w:t>
      </w:r>
      <w:proofErr w:type="spellEnd"/>
      <w:r>
        <w:t xml:space="preserve"> и </w:t>
      </w:r>
      <w:proofErr w:type="spellStart"/>
      <w:r>
        <w:t>срещу</w:t>
      </w:r>
      <w:proofErr w:type="spellEnd"/>
      <w:r>
        <w:t xml:space="preserve"> </w:t>
      </w:r>
      <w:proofErr w:type="spellStart"/>
      <w:r>
        <w:t>политиката</w:t>
      </w:r>
      <w:proofErr w:type="spellEnd"/>
      <w:r>
        <w:t xml:space="preserve"> на </w:t>
      </w:r>
      <w:proofErr w:type="spellStart"/>
      <w:r>
        <w:t>държавата</w:t>
      </w:r>
      <w:proofErr w:type="spellEnd"/>
      <w:r>
        <w:t xml:space="preserve"> </w:t>
      </w:r>
      <w:proofErr w:type="spellStart"/>
      <w:r>
        <w:t>да</w:t>
      </w:r>
      <w:proofErr w:type="spellEnd"/>
      <w:r>
        <w:t xml:space="preserve"> </w:t>
      </w:r>
      <w:proofErr w:type="spellStart"/>
      <w:r>
        <w:t>осигури</w:t>
      </w:r>
      <w:proofErr w:type="spellEnd"/>
      <w:r>
        <w:t xml:space="preserve"> </w:t>
      </w:r>
      <w:proofErr w:type="spellStart"/>
      <w:r>
        <w:t>образование</w:t>
      </w:r>
      <w:proofErr w:type="spellEnd"/>
      <w:r>
        <w:t xml:space="preserve"> на </w:t>
      </w:r>
      <w:proofErr w:type="spellStart"/>
      <w:r>
        <w:t>децата</w:t>
      </w:r>
      <w:proofErr w:type="spellEnd"/>
      <w:r>
        <w:t xml:space="preserve"> и </w:t>
      </w:r>
      <w:proofErr w:type="spellStart"/>
      <w:r>
        <w:t>правата</w:t>
      </w:r>
      <w:proofErr w:type="spellEnd"/>
      <w:r>
        <w:t xml:space="preserve"> на </w:t>
      </w:r>
      <w:proofErr w:type="spellStart"/>
      <w:r>
        <w:t>родителите</w:t>
      </w:r>
      <w:proofErr w:type="spellEnd"/>
      <w:r>
        <w:t>. </w:t>
      </w:r>
      <w:r>
        <w:rPr>
          <w:lang w:val="bg-BG"/>
        </w:rPr>
        <w:t>Нещо повече, тези движения се наблюдават не само в България, но и на европейско ниво</w:t>
      </w:r>
      <w:r>
        <w:rPr>
          <w:rStyle w:val="FootnoteReference"/>
          <w:lang w:val="bg-BG"/>
        </w:rPr>
        <w:footnoteReference w:id="3"/>
      </w:r>
      <w:r>
        <w:rPr>
          <w:lang w:val="bg-BG"/>
        </w:rPr>
        <w:t>.</w:t>
      </w:r>
    </w:p>
    <w:p w:rsidR="00534240" w:rsidRDefault="00534240" w:rsidP="00534240">
      <w:pPr>
        <w:jc w:val="both"/>
        <w:rPr>
          <w:lang w:val="bg-BG"/>
        </w:rPr>
      </w:pPr>
      <w:r>
        <w:rPr>
          <w:lang w:val="bg-BG"/>
        </w:rPr>
        <w:t xml:space="preserve">Наред с необходимостта от противодействие и търсене на отговорност на инициаторите на кампаниите против политиките за деца и семейства и провеждането на информационни кампании, разясняващи сега действащите закони и политики в областта, отново подчертаваме </w:t>
      </w:r>
      <w:r>
        <w:rPr>
          <w:b/>
          <w:lang w:val="bg-BG"/>
        </w:rPr>
        <w:t>спешната необходимост от справяне с реалните проблеми на системата за закрила на детето и за създаването и провеждането на цялостна политика за подкрепа на семействата и родителството в България</w:t>
      </w:r>
      <w:r>
        <w:rPr>
          <w:lang w:val="bg-BG"/>
        </w:rPr>
        <w:t xml:space="preserve">. </w:t>
      </w:r>
    </w:p>
    <w:p w:rsidR="00534240" w:rsidRDefault="00534240" w:rsidP="00534240">
      <w:pPr>
        <w:jc w:val="both"/>
        <w:rPr>
          <w:lang w:val="bg-BG"/>
        </w:rPr>
      </w:pPr>
      <w:r>
        <w:rPr>
          <w:lang w:val="bg-BG"/>
        </w:rPr>
        <w:lastRenderedPageBreak/>
        <w:t xml:space="preserve">Ние, обединение на над 146 организации, работещи с и за деца и семейства и в партньорство с десетки други организации и съмишленици, мобилизираме целия си ресурс за съхраняване на демократичните принципи и политиките и обществените отношения, основани на човешки права. Готови сме да продължим работата си както в подкрепа на конкретни съдби на деца и техните родители, така и за развитието, прилагането и проследяването на политики за детското благосъстояние и занапред. </w:t>
      </w:r>
    </w:p>
    <w:p w:rsidR="001A1E4D" w:rsidRDefault="00971057" w:rsidP="00971057">
      <w:pPr>
        <w:spacing w:after="0"/>
        <w:rPr>
          <w:lang w:val="bg-BG"/>
        </w:rPr>
      </w:pPr>
      <w:r>
        <w:rPr>
          <w:lang w:val="bg-BG"/>
        </w:rPr>
        <w:t>Национална мрежа за децата</w:t>
      </w:r>
    </w:p>
    <w:p w:rsidR="00971057" w:rsidRDefault="00971057" w:rsidP="00971057">
      <w:pPr>
        <w:spacing w:after="0"/>
        <w:rPr>
          <w:lang w:val="bg-BG"/>
        </w:rPr>
      </w:pPr>
      <w:r>
        <w:rPr>
          <w:lang w:val="bg-BG"/>
        </w:rPr>
        <w:t>16.10.2019</w:t>
      </w:r>
    </w:p>
    <w:p w:rsidR="00840F94" w:rsidRDefault="00840F94">
      <w:pPr>
        <w:ind w:left="788"/>
      </w:pPr>
    </w:p>
    <w:sectPr w:rsidR="00840F94" w:rsidSect="00054DB9">
      <w:headerReference w:type="default" r:id="rId7"/>
      <w:footerReference w:type="default" r:id="rId8"/>
      <w:pgSz w:w="11906" w:h="16838"/>
      <w:pgMar w:top="2970" w:right="1417" w:bottom="1800" w:left="1417" w:header="2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89" w:rsidRDefault="00805989">
      <w:pPr>
        <w:spacing w:after="0" w:line="240" w:lineRule="auto"/>
      </w:pPr>
      <w:r>
        <w:separator/>
      </w:r>
    </w:p>
  </w:endnote>
  <w:endnote w:type="continuationSeparator" w:id="0">
    <w:p w:rsidR="00805989" w:rsidRDefault="0080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Vodafone ExB"/>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94" w:rsidRDefault="00DC4E79">
    <w:pPr>
      <w:pStyle w:val="Footer"/>
      <w:ind w:left="-1134" w:right="-896" w:hanging="283"/>
      <w:jc w:val="center"/>
    </w:pPr>
    <w:r>
      <w:rPr>
        <w:noProof/>
        <w:lang w:eastAsia="en-US"/>
      </w:rPr>
      <w:drawing>
        <wp:anchor distT="0" distB="0" distL="0" distR="0" simplePos="0" relativeHeight="251658240" behindDoc="1" locked="0" layoutInCell="1" allowOverlap="1">
          <wp:simplePos x="0" y="0"/>
          <wp:positionH relativeFrom="column">
            <wp:align>center</wp:align>
          </wp:positionH>
          <wp:positionV relativeFrom="paragraph">
            <wp:posOffset>-815340</wp:posOffset>
          </wp:positionV>
          <wp:extent cx="7558405" cy="98425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984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89" w:rsidRDefault="00805989">
      <w:pPr>
        <w:spacing w:after="0" w:line="240" w:lineRule="auto"/>
      </w:pPr>
      <w:r>
        <w:separator/>
      </w:r>
    </w:p>
  </w:footnote>
  <w:footnote w:type="continuationSeparator" w:id="0">
    <w:p w:rsidR="00805989" w:rsidRDefault="00805989">
      <w:pPr>
        <w:spacing w:after="0" w:line="240" w:lineRule="auto"/>
      </w:pPr>
      <w:r>
        <w:continuationSeparator/>
      </w:r>
    </w:p>
  </w:footnote>
  <w:footnote w:id="1">
    <w:p w:rsidR="00534240" w:rsidRDefault="00534240" w:rsidP="00534240">
      <w:pPr>
        <w:pStyle w:val="FootnoteText"/>
        <w:jc w:val="both"/>
        <w:rPr>
          <w:lang w:val="bg-BG"/>
        </w:rPr>
      </w:pPr>
      <w:r>
        <w:rPr>
          <w:rStyle w:val="FootnoteReference"/>
        </w:rPr>
        <w:footnoteRef/>
      </w:r>
      <w:r>
        <w:t xml:space="preserve"> </w:t>
      </w:r>
      <w:r>
        <w:rPr>
          <w:lang w:val="bg-BG"/>
        </w:rPr>
        <w:t xml:space="preserve">Юруков, Б., „Групата на торбаланците – кой, по колко и за какво става реч“, септември 2019, </w:t>
      </w:r>
      <w:hyperlink r:id="rId1" w:history="1">
        <w:r>
          <w:rPr>
            <w:rStyle w:val="Hyperlink"/>
          </w:rPr>
          <w:t>https://yurukov.net/blog/2019/torbalancite/</w:t>
        </w:r>
      </w:hyperlink>
    </w:p>
  </w:footnote>
  <w:footnote w:id="2">
    <w:p w:rsidR="00534240" w:rsidRDefault="00534240" w:rsidP="00534240">
      <w:pPr>
        <w:pStyle w:val="FootnoteText"/>
        <w:jc w:val="both"/>
        <w:rPr>
          <w:lang w:val="bg-BG"/>
        </w:rPr>
      </w:pPr>
      <w:r>
        <w:rPr>
          <w:rStyle w:val="FootnoteReference"/>
        </w:rPr>
        <w:footnoteRef/>
      </w:r>
      <w:r>
        <w:t xml:space="preserve"> </w:t>
      </w:r>
      <w:r>
        <w:rPr>
          <w:lang w:val="bg-BG"/>
        </w:rPr>
        <w:t>Доклад „Бележник 2019: Какъв е средният успех на държавата в грижата за децата“, по данни на Прокуратурата на Република България</w:t>
      </w:r>
    </w:p>
  </w:footnote>
  <w:footnote w:id="3">
    <w:p w:rsidR="00534240" w:rsidRDefault="00534240" w:rsidP="00534240">
      <w:pPr>
        <w:pStyle w:val="FootnoteText"/>
        <w:rPr>
          <w:lang w:val="bg-BG"/>
        </w:rPr>
      </w:pPr>
      <w:r>
        <w:rPr>
          <w:rStyle w:val="FootnoteReference"/>
        </w:rPr>
        <w:footnoteRef/>
      </w:r>
      <w:r>
        <w:t xml:space="preserve"> </w:t>
      </w:r>
      <w:r>
        <w:rPr>
          <w:lang w:val="bg-BG"/>
        </w:rPr>
        <w:t xml:space="preserve">„Възстановяне на естествения ред. Програма за Европа“, доклад на Европейския парламентарен форум за популацията и развитие, 2018, </w:t>
      </w:r>
      <w:hyperlink r:id="rId2" w:history="1">
        <w:r>
          <w:rPr>
            <w:rStyle w:val="Hyperlink"/>
          </w:rPr>
          <w:t>https://www.epfweb.org/sites/epfweb.org/files/rtno_epf_book_lores.pdf</w:t>
        </w:r>
      </w:hyperlink>
      <w:r>
        <w:rPr>
          <w:lang w:val="bg-B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94" w:rsidRDefault="00DC4E79">
    <w:pPr>
      <w:pStyle w:val="Header"/>
      <w:ind w:left="-851" w:right="-896"/>
      <w:jc w:val="center"/>
    </w:pPr>
    <w:r>
      <w:rPr>
        <w:noProof/>
        <w:lang w:eastAsia="en-US"/>
      </w:rPr>
      <w:drawing>
        <wp:anchor distT="0" distB="0" distL="0" distR="0" simplePos="0" relativeHeight="251657216" behindDoc="1" locked="0" layoutInCell="1" allowOverlap="1">
          <wp:simplePos x="0" y="0"/>
          <wp:positionH relativeFrom="column">
            <wp:posOffset>-900430</wp:posOffset>
          </wp:positionH>
          <wp:positionV relativeFrom="paragraph">
            <wp:posOffset>438150</wp:posOffset>
          </wp:positionV>
          <wp:extent cx="7558405" cy="115316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153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C1"/>
    <w:rsid w:val="00036399"/>
    <w:rsid w:val="00054DB9"/>
    <w:rsid w:val="00077E17"/>
    <w:rsid w:val="000B22A8"/>
    <w:rsid w:val="001014E6"/>
    <w:rsid w:val="00135776"/>
    <w:rsid w:val="001A1325"/>
    <w:rsid w:val="001A1E4D"/>
    <w:rsid w:val="002248B0"/>
    <w:rsid w:val="002C1C37"/>
    <w:rsid w:val="003325AF"/>
    <w:rsid w:val="00334E5E"/>
    <w:rsid w:val="003B3358"/>
    <w:rsid w:val="003F347A"/>
    <w:rsid w:val="004D5CFC"/>
    <w:rsid w:val="00534240"/>
    <w:rsid w:val="00640B79"/>
    <w:rsid w:val="006B2FA9"/>
    <w:rsid w:val="00805989"/>
    <w:rsid w:val="00813472"/>
    <w:rsid w:val="0081440B"/>
    <w:rsid w:val="00840F94"/>
    <w:rsid w:val="00925EC2"/>
    <w:rsid w:val="00971057"/>
    <w:rsid w:val="00A32B4B"/>
    <w:rsid w:val="00A474C1"/>
    <w:rsid w:val="00A61240"/>
    <w:rsid w:val="00A86AA2"/>
    <w:rsid w:val="00AC3F7B"/>
    <w:rsid w:val="00AC6278"/>
    <w:rsid w:val="00B13053"/>
    <w:rsid w:val="00C616C3"/>
    <w:rsid w:val="00C764B5"/>
    <w:rsid w:val="00CF6F1E"/>
    <w:rsid w:val="00D557C2"/>
    <w:rsid w:val="00DA1AD3"/>
    <w:rsid w:val="00DC4E79"/>
    <w:rsid w:val="00E27D11"/>
    <w:rsid w:val="00E3509D"/>
    <w:rsid w:val="00E51719"/>
    <w:rsid w:val="00E87D16"/>
    <w:rsid w:val="00EA2C8A"/>
    <w:rsid w:val="00EC2A3D"/>
    <w:rsid w:val="00EF197E"/>
    <w:rsid w:val="00F0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703"/>
        <w:tab w:val="right" w:pos="9406"/>
      </w:tabs>
      <w:spacing w:after="0" w:line="240" w:lineRule="auto"/>
    </w:pPr>
  </w:style>
  <w:style w:type="paragraph" w:styleId="Footer">
    <w:name w:val="footer"/>
    <w:basedOn w:val="Normal"/>
    <w:pPr>
      <w:tabs>
        <w:tab w:val="center" w:pos="4703"/>
        <w:tab w:val="right" w:pos="9406"/>
      </w:tabs>
      <w:spacing w:after="0" w:line="240" w:lineRule="auto"/>
    </w:pPr>
  </w:style>
  <w:style w:type="character" w:styleId="Hyperlink">
    <w:name w:val="Hyperlink"/>
    <w:uiPriority w:val="99"/>
    <w:semiHidden/>
    <w:unhideWhenUsed/>
    <w:rsid w:val="00534240"/>
    <w:rPr>
      <w:color w:val="0000FF"/>
      <w:u w:val="single"/>
    </w:rPr>
  </w:style>
  <w:style w:type="paragraph" w:styleId="FootnoteText">
    <w:name w:val="footnote text"/>
    <w:basedOn w:val="Normal"/>
    <w:link w:val="FootnoteTextChar"/>
    <w:uiPriority w:val="99"/>
    <w:semiHidden/>
    <w:unhideWhenUsed/>
    <w:rsid w:val="00534240"/>
    <w:pPr>
      <w:suppressAutoHyphens w:val="0"/>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534240"/>
    <w:rPr>
      <w:rFonts w:ascii="Calibri" w:eastAsia="Calibri" w:hAnsi="Calibri"/>
    </w:rPr>
  </w:style>
  <w:style w:type="character" w:styleId="FootnoteReference">
    <w:name w:val="footnote reference"/>
    <w:uiPriority w:val="99"/>
    <w:semiHidden/>
    <w:unhideWhenUsed/>
    <w:rsid w:val="00534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703"/>
        <w:tab w:val="right" w:pos="9406"/>
      </w:tabs>
      <w:spacing w:after="0" w:line="240" w:lineRule="auto"/>
    </w:pPr>
  </w:style>
  <w:style w:type="paragraph" w:styleId="Footer">
    <w:name w:val="footer"/>
    <w:basedOn w:val="Normal"/>
    <w:pPr>
      <w:tabs>
        <w:tab w:val="center" w:pos="4703"/>
        <w:tab w:val="right" w:pos="9406"/>
      </w:tabs>
      <w:spacing w:after="0" w:line="240" w:lineRule="auto"/>
    </w:pPr>
  </w:style>
  <w:style w:type="character" w:styleId="Hyperlink">
    <w:name w:val="Hyperlink"/>
    <w:uiPriority w:val="99"/>
    <w:semiHidden/>
    <w:unhideWhenUsed/>
    <w:rsid w:val="00534240"/>
    <w:rPr>
      <w:color w:val="0000FF"/>
      <w:u w:val="single"/>
    </w:rPr>
  </w:style>
  <w:style w:type="paragraph" w:styleId="FootnoteText">
    <w:name w:val="footnote text"/>
    <w:basedOn w:val="Normal"/>
    <w:link w:val="FootnoteTextChar"/>
    <w:uiPriority w:val="99"/>
    <w:semiHidden/>
    <w:unhideWhenUsed/>
    <w:rsid w:val="00534240"/>
    <w:pPr>
      <w:suppressAutoHyphens w:val="0"/>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534240"/>
    <w:rPr>
      <w:rFonts w:ascii="Calibri" w:eastAsia="Calibri" w:hAnsi="Calibri"/>
    </w:rPr>
  </w:style>
  <w:style w:type="character" w:styleId="FootnoteReference">
    <w:name w:val="footnote reference"/>
    <w:uiPriority w:val="99"/>
    <w:semiHidden/>
    <w:unhideWhenUsed/>
    <w:rsid w:val="00534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pfweb.org/sites/epfweb.org/files/rtno_epf_book_lores.pdf" TargetMode="External"/><Relationship Id="rId1" Type="http://schemas.openxmlformats.org/officeDocument/2006/relationships/hyperlink" Target="https://yurukov.net/blog/2019/torbalanc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8961</CharactersWithSpaces>
  <SharedDoc>false</SharedDoc>
  <HLinks>
    <vt:vector size="12" baseType="variant">
      <vt:variant>
        <vt:i4>7143447</vt:i4>
      </vt:variant>
      <vt:variant>
        <vt:i4>3</vt:i4>
      </vt:variant>
      <vt:variant>
        <vt:i4>0</vt:i4>
      </vt:variant>
      <vt:variant>
        <vt:i4>5</vt:i4>
      </vt:variant>
      <vt:variant>
        <vt:lpwstr>https://www.epfweb.org/sites/epfweb.org/files/rtno_epf_book_lores.pdf</vt:lpwstr>
      </vt:variant>
      <vt:variant>
        <vt:lpwstr/>
      </vt:variant>
      <vt:variant>
        <vt:i4>4063350</vt:i4>
      </vt:variant>
      <vt:variant>
        <vt:i4>0</vt:i4>
      </vt:variant>
      <vt:variant>
        <vt:i4>0</vt:i4>
      </vt:variant>
      <vt:variant>
        <vt:i4>5</vt:i4>
      </vt:variant>
      <vt:variant>
        <vt:lpwstr>https://yurukov.net/blog/2019/torbalancite/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Office</cp:lastModifiedBy>
  <cp:revision>2</cp:revision>
  <cp:lastPrinted>1900-12-31T21:00:00Z</cp:lastPrinted>
  <dcterms:created xsi:type="dcterms:W3CDTF">2019-10-18T10:57:00Z</dcterms:created>
  <dcterms:modified xsi:type="dcterms:W3CDTF">2019-10-18T10:57:00Z</dcterms:modified>
</cp:coreProperties>
</file>