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E935C" w14:textId="64428011" w:rsidR="00550A0B" w:rsidRDefault="008263E1" w:rsidP="00673492">
      <w:pPr>
        <w:jc w:val="both"/>
      </w:pPr>
      <w:bookmarkStart w:id="0" w:name="_GoBack"/>
      <w:bookmarkEnd w:id="0"/>
      <w:r>
        <w:t xml:space="preserve">Изх. № </w:t>
      </w:r>
      <w:r w:rsidR="00543062">
        <w:t>А</w:t>
      </w:r>
      <w:r>
        <w:t>-</w:t>
      </w:r>
      <w:r w:rsidR="00543062">
        <w:t>95</w:t>
      </w:r>
      <w:r>
        <w:t>/</w:t>
      </w:r>
      <w:r w:rsidR="00543062">
        <w:t>2020</w:t>
      </w:r>
      <w:r>
        <w:t> г.</w:t>
      </w:r>
    </w:p>
    <w:p w14:paraId="1E62AAA9" w14:textId="2EFBA5C8" w:rsidR="008263E1" w:rsidRDefault="008263E1" w:rsidP="00673492">
      <w:pPr>
        <w:ind w:left="4248"/>
        <w:jc w:val="both"/>
      </w:pPr>
      <w:r>
        <w:t>До</w:t>
      </w:r>
    </w:p>
    <w:p w14:paraId="0713B0FE" w14:textId="6869CBDF" w:rsidR="008263E1" w:rsidRDefault="00933C8D" w:rsidP="00673492">
      <w:pPr>
        <w:ind w:left="4248"/>
        <w:jc w:val="both"/>
      </w:pPr>
      <w:r>
        <w:t>Анна Александрова,</w:t>
      </w:r>
    </w:p>
    <w:p w14:paraId="3DBF2917" w14:textId="1E8B5D50" w:rsidR="00933C8D" w:rsidRDefault="00933C8D" w:rsidP="00673492">
      <w:pPr>
        <w:ind w:left="4248"/>
        <w:jc w:val="both"/>
      </w:pPr>
      <w:r>
        <w:t>Председателка на Комисията по правни въпроси в 44-то Народно събрание</w:t>
      </w:r>
    </w:p>
    <w:p w14:paraId="63879423" w14:textId="634AE6E4" w:rsidR="00933C8D" w:rsidRDefault="00933C8D" w:rsidP="00673492">
      <w:pPr>
        <w:ind w:left="4248"/>
        <w:jc w:val="both"/>
      </w:pPr>
    </w:p>
    <w:p w14:paraId="4B88B369" w14:textId="74176CF1" w:rsidR="00933C8D" w:rsidRDefault="00933C8D" w:rsidP="00673492">
      <w:pPr>
        <w:ind w:left="4248"/>
        <w:jc w:val="both"/>
      </w:pPr>
      <w:r>
        <w:t>Копие до:</w:t>
      </w:r>
    </w:p>
    <w:p w14:paraId="41BB4107" w14:textId="22D0DDB0" w:rsidR="00F208A3" w:rsidRDefault="00F208A3" w:rsidP="00673492">
      <w:pPr>
        <w:ind w:left="4248"/>
        <w:jc w:val="both"/>
      </w:pPr>
      <w:r>
        <w:t>Менда Стоянова,</w:t>
      </w:r>
    </w:p>
    <w:p w14:paraId="41D56C00" w14:textId="6046EEDC" w:rsidR="00F208A3" w:rsidRDefault="00F208A3" w:rsidP="00673492">
      <w:pPr>
        <w:ind w:left="4248"/>
        <w:jc w:val="both"/>
      </w:pPr>
      <w:r>
        <w:t>Председателка на Комисията по бюджет и финанси в 44-то Народно събрание</w:t>
      </w:r>
    </w:p>
    <w:p w14:paraId="1C466270" w14:textId="533B2779" w:rsidR="00F208A3" w:rsidRDefault="00F208A3" w:rsidP="00673492">
      <w:pPr>
        <w:ind w:left="4248"/>
        <w:jc w:val="both"/>
      </w:pPr>
    </w:p>
    <w:p w14:paraId="1F661D0F" w14:textId="16FCB795" w:rsidR="00F208A3" w:rsidRDefault="00F208A3" w:rsidP="00673492">
      <w:pPr>
        <w:ind w:left="4248"/>
        <w:jc w:val="both"/>
      </w:pPr>
      <w:r>
        <w:t>Копие до:</w:t>
      </w:r>
    </w:p>
    <w:p w14:paraId="781B8FB7" w14:textId="12131951" w:rsidR="00F208A3" w:rsidRDefault="00F208A3" w:rsidP="00673492">
      <w:pPr>
        <w:ind w:left="4248"/>
        <w:jc w:val="both"/>
      </w:pPr>
      <w:r>
        <w:t>Георги Гьоков,</w:t>
      </w:r>
    </w:p>
    <w:p w14:paraId="01BEE337" w14:textId="78879086" w:rsidR="00F208A3" w:rsidRDefault="00F208A3" w:rsidP="00673492">
      <w:pPr>
        <w:ind w:left="4248"/>
        <w:jc w:val="both"/>
      </w:pPr>
      <w:r>
        <w:t>Председател на Комисията по бюджет и финанси в 44-то Народно събрание</w:t>
      </w:r>
    </w:p>
    <w:p w14:paraId="03C0548D" w14:textId="0478600C" w:rsidR="00F208A3" w:rsidRDefault="00F208A3" w:rsidP="00673492">
      <w:pPr>
        <w:ind w:left="4248"/>
        <w:jc w:val="both"/>
      </w:pPr>
    </w:p>
    <w:p w14:paraId="19095007" w14:textId="412FE9F3" w:rsidR="00F208A3" w:rsidRDefault="00F208A3" w:rsidP="00673492">
      <w:pPr>
        <w:ind w:left="4248"/>
        <w:jc w:val="both"/>
      </w:pPr>
      <w:r>
        <w:t>Копие до:</w:t>
      </w:r>
    </w:p>
    <w:p w14:paraId="662EE3B8" w14:textId="4F182704" w:rsidR="00F208A3" w:rsidRDefault="00F208A3" w:rsidP="00673492">
      <w:pPr>
        <w:ind w:left="4248"/>
        <w:jc w:val="both"/>
      </w:pPr>
      <w:r>
        <w:t>Борис Ячев,</w:t>
      </w:r>
    </w:p>
    <w:p w14:paraId="6C9D967F" w14:textId="33F32B4E" w:rsidR="00F208A3" w:rsidRDefault="00F208A3" w:rsidP="00673492">
      <w:pPr>
        <w:ind w:left="4248"/>
        <w:jc w:val="both"/>
      </w:pPr>
      <w:r>
        <w:t>Председател на Комисията по бюджет и финанси в 44-то Народно събрание</w:t>
      </w:r>
    </w:p>
    <w:p w14:paraId="32E3878F" w14:textId="06248A75" w:rsidR="008263E1" w:rsidRDefault="008263E1" w:rsidP="00673492">
      <w:pPr>
        <w:ind w:left="4248"/>
        <w:jc w:val="both"/>
      </w:pPr>
    </w:p>
    <w:p w14:paraId="42E05E0E" w14:textId="237B813A" w:rsidR="008263E1" w:rsidRPr="00673492" w:rsidRDefault="008263E1" w:rsidP="00673492">
      <w:pPr>
        <w:ind w:left="4248"/>
        <w:jc w:val="both"/>
        <w:rPr>
          <w:b/>
          <w:caps/>
          <w:spacing w:val="60"/>
        </w:rPr>
      </w:pPr>
      <w:r w:rsidRPr="00673492">
        <w:rPr>
          <w:b/>
          <w:caps/>
          <w:spacing w:val="60"/>
        </w:rPr>
        <w:t>Становище</w:t>
      </w:r>
    </w:p>
    <w:p w14:paraId="54194F1B" w14:textId="42ED57DA" w:rsidR="008263E1" w:rsidRDefault="008263E1" w:rsidP="00673492">
      <w:pPr>
        <w:ind w:left="4248"/>
        <w:jc w:val="both"/>
      </w:pPr>
      <w:r>
        <w:t xml:space="preserve">по </w:t>
      </w:r>
      <w:r w:rsidRPr="008263E1">
        <w:t>Законопроект за изменение и допълнение на Закона за юридическите лица с нестопанска цел</w:t>
      </w:r>
      <w:r>
        <w:t xml:space="preserve"> </w:t>
      </w:r>
      <w:r w:rsidR="001A29B9">
        <w:t>(ЗИД</w:t>
      </w:r>
      <w:r w:rsidR="002D3B99">
        <w:t xml:space="preserve"> на </w:t>
      </w:r>
      <w:r w:rsidR="001A29B9">
        <w:t xml:space="preserve">ЗЮЛНЦ) </w:t>
      </w:r>
      <w:r>
        <w:t>с</w:t>
      </w:r>
      <w:r w:rsidR="004B16BD">
        <w:t xml:space="preserve"> </w:t>
      </w:r>
      <w:r>
        <w:t xml:space="preserve">№ </w:t>
      </w:r>
      <w:r w:rsidRPr="008263E1">
        <w:t>054-01-60</w:t>
      </w:r>
      <w:r>
        <w:t>/01.07.2020 г.</w:t>
      </w:r>
    </w:p>
    <w:p w14:paraId="61EF2133" w14:textId="2DD9809D" w:rsidR="004B16BD" w:rsidRDefault="004B16BD" w:rsidP="00673492">
      <w:pPr>
        <w:ind w:left="4248"/>
        <w:jc w:val="both"/>
      </w:pPr>
    </w:p>
    <w:p w14:paraId="0C27CDC5" w14:textId="4A3FBC6B" w:rsidR="004B16BD" w:rsidRDefault="004B16BD" w:rsidP="00673492">
      <w:pPr>
        <w:ind w:left="4248"/>
        <w:jc w:val="both"/>
      </w:pPr>
      <w:r>
        <w:t>от</w:t>
      </w:r>
    </w:p>
    <w:p w14:paraId="0A2C3E39" w14:textId="765578B7" w:rsidR="004B16BD" w:rsidRDefault="004B16BD" w:rsidP="00673492">
      <w:pPr>
        <w:ind w:left="4248"/>
        <w:jc w:val="both"/>
      </w:pPr>
      <w:r>
        <w:t>адв. Адела Качаунова,</w:t>
      </w:r>
    </w:p>
    <w:p w14:paraId="4805091A" w14:textId="1CAB2AE7" w:rsidR="004B16BD" w:rsidRDefault="004B16BD" w:rsidP="00673492">
      <w:pPr>
        <w:ind w:left="4248"/>
        <w:jc w:val="both"/>
      </w:pPr>
      <w:r>
        <w:t>Директорка на Програмата за правна помощ на Българския хелзинкски комитет</w:t>
      </w:r>
      <w:r w:rsidR="00F4350B">
        <w:t xml:space="preserve"> (БХК)</w:t>
      </w:r>
      <w:r>
        <w:t>,</w:t>
      </w:r>
    </w:p>
    <w:p w14:paraId="4356B481" w14:textId="7B5C61C0" w:rsidR="004B16BD" w:rsidRDefault="004B16BD" w:rsidP="00673492">
      <w:pPr>
        <w:ind w:left="4248"/>
        <w:jc w:val="both"/>
      </w:pPr>
      <w:r>
        <w:t>ул. „Върбица“ № 7, ет. 4,</w:t>
      </w:r>
    </w:p>
    <w:p w14:paraId="221F0BF2" w14:textId="3FB693B2" w:rsidR="004B16BD" w:rsidRDefault="004B16BD" w:rsidP="00673492">
      <w:pPr>
        <w:ind w:left="4248"/>
        <w:jc w:val="both"/>
      </w:pPr>
      <w:r>
        <w:t>1504 София</w:t>
      </w:r>
    </w:p>
    <w:p w14:paraId="5A4CE70F" w14:textId="53490AA8" w:rsidR="004B16BD" w:rsidRDefault="004B16BD" w:rsidP="00673492">
      <w:pPr>
        <w:jc w:val="both"/>
      </w:pPr>
    </w:p>
    <w:p w14:paraId="342AB190" w14:textId="4A1A4393" w:rsidR="004B16BD" w:rsidRDefault="00673492" w:rsidP="00673492">
      <w:pPr>
        <w:jc w:val="both"/>
      </w:pPr>
      <w:r>
        <w:tab/>
      </w:r>
      <w:r w:rsidR="004B16BD">
        <w:t>Уважаема госпожо Председател,</w:t>
      </w:r>
    </w:p>
    <w:p w14:paraId="692C6C81" w14:textId="684B6E39" w:rsidR="00673492" w:rsidRDefault="00673492" w:rsidP="00673492">
      <w:pPr>
        <w:jc w:val="both"/>
      </w:pPr>
    </w:p>
    <w:p w14:paraId="30D066FC" w14:textId="09A6410D" w:rsidR="00673492" w:rsidRDefault="00673492" w:rsidP="00673492">
      <w:pPr>
        <w:jc w:val="both"/>
      </w:pPr>
      <w:r>
        <w:tab/>
        <w:t>Уважаеми Народни представители,</w:t>
      </w:r>
    </w:p>
    <w:p w14:paraId="07FDFDE9" w14:textId="36027C42" w:rsidR="004B16BD" w:rsidRDefault="004B16BD" w:rsidP="00673492">
      <w:pPr>
        <w:jc w:val="both"/>
      </w:pPr>
    </w:p>
    <w:p w14:paraId="1865B4B0" w14:textId="5F1D8135" w:rsidR="004B16BD" w:rsidRDefault="00673492" w:rsidP="006E158B">
      <w:pPr>
        <w:jc w:val="both"/>
      </w:pPr>
      <w:r>
        <w:tab/>
      </w:r>
      <w:r w:rsidR="000B2097">
        <w:t>С настоящото</w:t>
      </w:r>
      <w:r w:rsidR="004B16BD">
        <w:t xml:space="preserve"> </w:t>
      </w:r>
      <w:r w:rsidR="000B2097">
        <w:t xml:space="preserve">писмо </w:t>
      </w:r>
      <w:r w:rsidR="00F4350B">
        <w:t>БХК изразява</w:t>
      </w:r>
      <w:r w:rsidR="000B2097">
        <w:t xml:space="preserve"> отрицателно </w:t>
      </w:r>
      <w:r w:rsidR="001A29B9">
        <w:t xml:space="preserve">становище за </w:t>
      </w:r>
      <w:r w:rsidR="000B2097">
        <w:t xml:space="preserve">приемането на </w:t>
      </w:r>
      <w:r w:rsidR="001A29B9">
        <w:t>посочения ЗИД на ЗЮЛНЦ</w:t>
      </w:r>
      <w:r w:rsidR="00A715F0">
        <w:t xml:space="preserve">. </w:t>
      </w:r>
      <w:r w:rsidR="001D2557">
        <w:t>Разпоредбите на проекта</w:t>
      </w:r>
      <w:r w:rsidR="00AE707D">
        <w:t xml:space="preserve"> </w:t>
      </w:r>
      <w:r w:rsidR="001D2557">
        <w:t>противоречат</w:t>
      </w:r>
      <w:r w:rsidR="00AE707D">
        <w:t xml:space="preserve"> </w:t>
      </w:r>
      <w:r w:rsidR="001D2557">
        <w:t xml:space="preserve">на </w:t>
      </w:r>
      <w:r w:rsidR="006E158B">
        <w:t>българското право</w:t>
      </w:r>
      <w:r w:rsidR="00F4350B">
        <w:t>, на правото на Европейския съюз (ЕС) и на международното право</w:t>
      </w:r>
      <w:r>
        <w:t>.</w:t>
      </w:r>
      <w:r w:rsidR="00B325CD">
        <w:t xml:space="preserve"> Основанията </w:t>
      </w:r>
      <w:r w:rsidR="00F4350B">
        <w:t>н</w:t>
      </w:r>
      <w:r w:rsidR="00B325CD">
        <w:t>и за това са следните:</w:t>
      </w:r>
    </w:p>
    <w:p w14:paraId="542AD124" w14:textId="410475B6" w:rsidR="00673492" w:rsidRDefault="00673492" w:rsidP="00673492">
      <w:pPr>
        <w:jc w:val="both"/>
      </w:pPr>
    </w:p>
    <w:p w14:paraId="6324AF57" w14:textId="6224944B" w:rsidR="002F7582" w:rsidRDefault="002F7582" w:rsidP="004F6305">
      <w:pPr>
        <w:pStyle w:val="Heading1"/>
      </w:pPr>
      <w:r>
        <w:t>По законосъобразността</w:t>
      </w:r>
      <w:r w:rsidR="004F6305">
        <w:t xml:space="preserve"> на проекта</w:t>
      </w:r>
    </w:p>
    <w:p w14:paraId="548786F0" w14:textId="187AF1A9" w:rsidR="002F7582" w:rsidRDefault="004F6305" w:rsidP="00673492">
      <w:pPr>
        <w:jc w:val="both"/>
      </w:pPr>
      <w:r>
        <w:tab/>
        <w:t xml:space="preserve">Така предложеният законопроект противоречи </w:t>
      </w:r>
      <w:r w:rsidR="00F23F6A">
        <w:t>на Конституцията на Република България, на правото на ЕС и на международни договори, по които България е страна.</w:t>
      </w:r>
    </w:p>
    <w:p w14:paraId="0CA4B7B3" w14:textId="77777777" w:rsidR="00F51F5B" w:rsidRDefault="00DC6F1A" w:rsidP="009D5094">
      <w:pPr>
        <w:jc w:val="both"/>
      </w:pPr>
      <w:r>
        <w:tab/>
      </w:r>
    </w:p>
    <w:p w14:paraId="76DCD3E6" w14:textId="27D760AE" w:rsidR="009D5094" w:rsidRDefault="008F3C2F" w:rsidP="00F51F5B">
      <w:pPr>
        <w:ind w:firstLine="708"/>
        <w:jc w:val="both"/>
      </w:pPr>
      <w:r>
        <w:t xml:space="preserve">Доколкото </w:t>
      </w:r>
      <w:r w:rsidR="00755B9A">
        <w:t xml:space="preserve">законопроектът възпроизвежда всички основни разпоредби на </w:t>
      </w:r>
      <w:r w:rsidR="000E723D">
        <w:t xml:space="preserve">приетия </w:t>
      </w:r>
      <w:r w:rsidR="002E4933">
        <w:t xml:space="preserve">през 2017 г. от Република Унгария </w:t>
      </w:r>
      <w:r w:rsidR="002E4933" w:rsidRPr="002E4933">
        <w:t>Закон № LXXVI за прозрачността на организациите, които получават финансова подкрепа от чужбина</w:t>
      </w:r>
      <w:r w:rsidR="000F424B">
        <w:t xml:space="preserve"> – а именно: </w:t>
      </w:r>
      <w:r w:rsidR="000F424B" w:rsidRPr="000F424B">
        <w:t>задължени</w:t>
      </w:r>
      <w:r w:rsidR="000F424B">
        <w:t>е</w:t>
      </w:r>
      <w:r w:rsidR="000F424B" w:rsidRPr="000F424B">
        <w:t xml:space="preserve"> за </w:t>
      </w:r>
      <w:r w:rsidR="00BA66ED" w:rsidRPr="000F424B">
        <w:t xml:space="preserve">организации на гражданското общество </w:t>
      </w:r>
      <w:r w:rsidR="00BA66ED">
        <w:t xml:space="preserve">да </w:t>
      </w:r>
      <w:r w:rsidR="000F424B" w:rsidRPr="000F424B">
        <w:t>декларира</w:t>
      </w:r>
      <w:r w:rsidR="00BA66ED">
        <w:t>т</w:t>
      </w:r>
      <w:r w:rsidR="000F424B" w:rsidRPr="000F424B">
        <w:t xml:space="preserve"> и оповестява</w:t>
      </w:r>
      <w:r w:rsidR="00BA66ED">
        <w:t>т</w:t>
      </w:r>
      <w:r w:rsidR="000F424B">
        <w:t xml:space="preserve"> </w:t>
      </w:r>
      <w:r w:rsidR="00BA66ED">
        <w:t xml:space="preserve">получена пряко или непряко чуждестранна финансова подкрепа </w:t>
      </w:r>
      <w:r w:rsidR="000F424B" w:rsidRPr="000F424B">
        <w:t xml:space="preserve">над определен праг, </w:t>
      </w:r>
      <w:r w:rsidR="00BA66ED">
        <w:t>неизпълнението на които задължения е обвързано със санкция</w:t>
      </w:r>
      <w:r w:rsidR="00A61419">
        <w:t>,</w:t>
      </w:r>
      <w:r w:rsidR="00BA66ED">
        <w:t xml:space="preserve"> –</w:t>
      </w:r>
      <w:r w:rsidR="00A61419">
        <w:t xml:space="preserve"> най-напред следва да отбележим решението на Съда на Европейския съюз (СЕС) от 18 юни 2020 г. по дело</w:t>
      </w:r>
      <w:r w:rsidR="00153F88">
        <w:t>то</w:t>
      </w:r>
      <w:r w:rsidR="00A61419">
        <w:t xml:space="preserve"> </w:t>
      </w:r>
      <w:r w:rsidR="00153F88" w:rsidRPr="00153F88">
        <w:rPr>
          <w:i/>
          <w:iCs/>
        </w:rPr>
        <w:t>Европейската комисия срещу Унгария (Прозрачност при сдружаването)</w:t>
      </w:r>
      <w:r w:rsidR="00153F88" w:rsidRPr="00153F88">
        <w:t xml:space="preserve"> (C-78/18)</w:t>
      </w:r>
      <w:r w:rsidR="00D35920">
        <w:rPr>
          <w:rStyle w:val="FootnoteReference"/>
        </w:rPr>
        <w:footnoteReference w:id="1"/>
      </w:r>
      <w:r w:rsidR="00153F88">
        <w:t>.</w:t>
      </w:r>
      <w:r w:rsidR="00F33415">
        <w:t xml:space="preserve"> С това решение е установено, че посочените разпоредби са в разрез </w:t>
      </w:r>
      <w:r w:rsidR="00D35920">
        <w:t xml:space="preserve">със </w:t>
      </w:r>
      <w:r w:rsidR="00D35920" w:rsidRPr="00D35920">
        <w:t>задълженията на държавите членки за гарантиране на свободата на движение на капитали, закрепена в чл</w:t>
      </w:r>
      <w:r w:rsidR="00F214E9">
        <w:t>.</w:t>
      </w:r>
      <w:r w:rsidR="00D35920" w:rsidRPr="00D35920">
        <w:t xml:space="preserve"> 63 </w:t>
      </w:r>
      <w:r w:rsidR="00F214E9">
        <w:t>от Договора за функциониране на ЕС</w:t>
      </w:r>
      <w:r w:rsidR="00D35920" w:rsidRPr="00D35920">
        <w:t>, както и на правото на зачитане на личния и семейния живот, правото на защита на личните данни и правото на свободно сдружаване, закрепени съответно в чл</w:t>
      </w:r>
      <w:r w:rsidR="00F214E9">
        <w:t>. чл.</w:t>
      </w:r>
      <w:r w:rsidR="00D35920" w:rsidRPr="00D35920">
        <w:t xml:space="preserve"> 7, 8 и 12 от Хартата на основните права на Европейския съюз.</w:t>
      </w:r>
    </w:p>
    <w:p w14:paraId="67EB423D" w14:textId="77777777" w:rsidR="00F51F5B" w:rsidRDefault="009D5094" w:rsidP="009D5094">
      <w:pPr>
        <w:jc w:val="both"/>
      </w:pPr>
      <w:r>
        <w:tab/>
      </w:r>
    </w:p>
    <w:p w14:paraId="63E095E1" w14:textId="26280241" w:rsidR="003C20B2" w:rsidRDefault="00BD3A75" w:rsidP="00F51F5B">
      <w:pPr>
        <w:ind w:firstLine="708"/>
        <w:jc w:val="both"/>
      </w:pPr>
      <w:r>
        <w:t>Личният и семейният живот</w:t>
      </w:r>
      <w:r w:rsidR="001E0155">
        <w:t xml:space="preserve">, личните данни и правото на свободно сдружаване са защитени и с чл. </w:t>
      </w:r>
      <w:r w:rsidR="0096733D">
        <w:t xml:space="preserve">чл. </w:t>
      </w:r>
      <w:r w:rsidR="001E0155">
        <w:t>32</w:t>
      </w:r>
      <w:r w:rsidR="0096733D">
        <w:t xml:space="preserve"> и 44 от Конституцията.</w:t>
      </w:r>
      <w:r w:rsidR="009D5094">
        <w:t xml:space="preserve"> Тази права ползват и защитата, дадена от Европейската конвенция за правата на човека и Международния пакт за граждански и политически права.</w:t>
      </w:r>
    </w:p>
    <w:p w14:paraId="49C87F63" w14:textId="77777777" w:rsidR="00F51F5B" w:rsidRDefault="007D01BD" w:rsidP="009D5094">
      <w:pPr>
        <w:jc w:val="both"/>
      </w:pPr>
      <w:r>
        <w:tab/>
      </w:r>
    </w:p>
    <w:p w14:paraId="34A0E1DD" w14:textId="2C2CB27F" w:rsidR="007D01BD" w:rsidRDefault="007D01BD" w:rsidP="00F51F5B">
      <w:pPr>
        <w:ind w:firstLine="357"/>
        <w:jc w:val="both"/>
      </w:pPr>
      <w:r>
        <w:t xml:space="preserve">Ако бъде приет в настоящия си вид, законопроектът </w:t>
      </w:r>
      <w:r w:rsidR="00BA4D82">
        <w:t xml:space="preserve">ще влоши свободата на сдружаване в България и би станал предпоставка за осъждането и на България по подобия на Унгария. </w:t>
      </w:r>
    </w:p>
    <w:p w14:paraId="213D002F" w14:textId="3C3CC3A5" w:rsidR="002F7582" w:rsidRDefault="002F7582" w:rsidP="00673492">
      <w:pPr>
        <w:jc w:val="both"/>
      </w:pPr>
    </w:p>
    <w:p w14:paraId="022A701B" w14:textId="76269353" w:rsidR="002F7582" w:rsidRDefault="004F6305" w:rsidP="004F6305">
      <w:pPr>
        <w:pStyle w:val="Heading1"/>
      </w:pPr>
      <w:r>
        <w:t>По целесъобразността на проекта</w:t>
      </w:r>
    </w:p>
    <w:p w14:paraId="7CA1FF5E" w14:textId="6DCEAF15" w:rsidR="00D84D8D" w:rsidRPr="00D84D8D" w:rsidRDefault="00D84D8D" w:rsidP="00D84D8D">
      <w:pPr>
        <w:ind w:left="714"/>
        <w:jc w:val="both"/>
        <w:rPr>
          <w:b/>
        </w:rPr>
      </w:pPr>
    </w:p>
    <w:p w14:paraId="34789B56" w14:textId="0969655B" w:rsidR="00D84D8D" w:rsidRPr="00D84D8D" w:rsidRDefault="00D84D8D" w:rsidP="00D84D8D">
      <w:pPr>
        <w:ind w:left="357"/>
        <w:jc w:val="both"/>
        <w:rPr>
          <w:b/>
        </w:rPr>
      </w:pPr>
      <w:r w:rsidRPr="00D84D8D">
        <w:rPr>
          <w:b/>
        </w:rPr>
        <w:lastRenderedPageBreak/>
        <w:t>Административна тежест върху юридическите лица с нестопанска цел</w:t>
      </w:r>
    </w:p>
    <w:p w14:paraId="17449CF9" w14:textId="2D1FB53C" w:rsidR="008E5E11" w:rsidRDefault="008E5E11" w:rsidP="00F51F5B">
      <w:pPr>
        <w:ind w:firstLine="709"/>
        <w:jc w:val="both"/>
      </w:pPr>
      <w:r>
        <w:t xml:space="preserve">Предложените текстове на §§ 3 и 4 от законопроекта създават прекомерна административна тежест върху неправителствените организации, </w:t>
      </w:r>
      <w:r w:rsidR="00CA35C0">
        <w:t>чиито краен резултат би бил спиране на дейността им</w:t>
      </w:r>
      <w:r w:rsidR="00224EFA">
        <w:t xml:space="preserve">. Това е така, тъй като обслужването на тези нови изисквания би затруднило организациите до степен да не могат да ги изпълняват. </w:t>
      </w:r>
      <w:r w:rsidR="00CF322B">
        <w:t>Обратно, евентуалното въвеждане на тези текстове няма да гарантира по-голяма прозрачност на финансирането на НПО сектора</w:t>
      </w:r>
      <w:r w:rsidR="0018610A">
        <w:t xml:space="preserve">. В чл. 18, ал. 2, т. 4 от ЗЮЛНЦ е разписано задължението за обявяване в регистъра на финансовия отчет и на </w:t>
      </w:r>
      <w:r w:rsidR="005F005C">
        <w:t>доклад</w:t>
      </w:r>
      <w:r w:rsidR="0018610A">
        <w:t xml:space="preserve"> за дейността</w:t>
      </w:r>
      <w:r w:rsidR="00605022">
        <w:t>. При неспазване на това задължение се налагат глоба, съответно имуществена санкция по реда на чл. 72 от Закона за счетоводството.</w:t>
      </w:r>
      <w:r w:rsidR="00BD1892">
        <w:t xml:space="preserve"> Годишните финансови отчети на юридическите лица с нестопанска цел, които работят в обществена полза, подлежат на независим външен финансов одит по Закона за счетоводството – чл. 39, ал. 3 от ЗЮЛНЦ. </w:t>
      </w:r>
      <w:r w:rsidR="00605022">
        <w:t>Допълнително, при неспазване на задължението</w:t>
      </w:r>
      <w:r w:rsidR="005861E5">
        <w:t xml:space="preserve"> за обявяване в Агенцията по вписванията на годишния доклад и на финансовия отчет за предходната година в срока по ЗЮЛНЦ, на юридическото лице с нестопанска цел се спира временно статута в обществена полза</w:t>
      </w:r>
      <w:r w:rsidR="00985BC5">
        <w:t xml:space="preserve">, което не освобождава лицето да изпълни задълженията си за обявяване на съответните документи. Системното неизпълнение на това задължение води до прекратяване на дейността на лицето – чл. 44а от ЗЮЛНЦ. </w:t>
      </w:r>
    </w:p>
    <w:p w14:paraId="7039B3B4" w14:textId="77777777" w:rsidR="00BA4D82" w:rsidRDefault="00BA4D82" w:rsidP="00673492">
      <w:pPr>
        <w:jc w:val="both"/>
      </w:pPr>
    </w:p>
    <w:p w14:paraId="60F01985" w14:textId="6486ECCB" w:rsidR="00985BC5" w:rsidRDefault="00985BC5" w:rsidP="00BA4D82">
      <w:pPr>
        <w:ind w:firstLine="708"/>
        <w:jc w:val="both"/>
      </w:pPr>
      <w:r>
        <w:t>Този строг режим на контрол върху финансовото състояние на юриди</w:t>
      </w:r>
      <w:r w:rsidR="008E537A">
        <w:t>ческите лица с нестопанска цел не съответства на тесния обхват на правомощията, които имат. Така например политическите партии, чиито решения и действия влияят в много по-голяма степен на обществото, с дълготрайни последици, не са обвързани от подобен строг контрол на източника на финансиране на партията</w:t>
      </w:r>
      <w:r w:rsidR="00D667D8">
        <w:t xml:space="preserve"> или на начините на разходване на средствата</w:t>
      </w:r>
      <w:r w:rsidR="008E537A">
        <w:t>.</w:t>
      </w:r>
      <w:r w:rsidR="00D667D8">
        <w:t xml:space="preserve"> Гражданите нямат свободен достъп до финансовите отчети на партиите, така, както имат до финансовите отчети на юридическите лица с нестопанска цел.</w:t>
      </w:r>
      <w:r w:rsidR="008E537A">
        <w:t xml:space="preserve"> </w:t>
      </w:r>
    </w:p>
    <w:p w14:paraId="46EA160D" w14:textId="1D5CD2BB" w:rsidR="008E537A" w:rsidRDefault="008E537A" w:rsidP="00673492">
      <w:pPr>
        <w:jc w:val="both"/>
      </w:pPr>
    </w:p>
    <w:p w14:paraId="0D0D19E4" w14:textId="0860C070" w:rsidR="008E537A" w:rsidRDefault="008E537A" w:rsidP="00BA4D82">
      <w:pPr>
        <w:ind w:firstLine="708"/>
        <w:jc w:val="both"/>
      </w:pPr>
      <w:r>
        <w:t xml:space="preserve">Разумно би било да се изследва приложението на сега съществуващите санкции при </w:t>
      </w:r>
      <w:r w:rsidR="00AC59B0">
        <w:t xml:space="preserve">неизпълнение на задължението за </w:t>
      </w:r>
      <w:r>
        <w:t>обявяване в срок на финансовите отчети на НПО в Агенцията за вписване</w:t>
      </w:r>
      <w:r w:rsidR="00AC59B0">
        <w:t xml:space="preserve"> и да се проследи колко и кои организации спазват и съответно не спазват задължението си и какви санкции са им били наложени. Едва тогава може да бъде оправдана каквато и да била промяна на сега съществуващия режим за проверка и контрол на финансирането на юридическите лица с нестопанска цел. </w:t>
      </w:r>
    </w:p>
    <w:p w14:paraId="58BAFAB6" w14:textId="18311088" w:rsidR="005F005C" w:rsidRDefault="005F005C" w:rsidP="00673492">
      <w:pPr>
        <w:jc w:val="both"/>
      </w:pPr>
    </w:p>
    <w:p w14:paraId="2D53E0EA" w14:textId="3E1B77CB" w:rsidR="005F005C" w:rsidRDefault="005F005C" w:rsidP="00BA4D82">
      <w:pPr>
        <w:ind w:firstLine="708"/>
        <w:jc w:val="both"/>
      </w:pPr>
      <w:r>
        <w:t>Предложени</w:t>
      </w:r>
      <w:r w:rsidR="00AC59B0">
        <w:t>я</w:t>
      </w:r>
      <w:r>
        <w:t>т</w:t>
      </w:r>
      <w:r w:rsidR="00BA4D82">
        <w:t>а</w:t>
      </w:r>
      <w:r>
        <w:t xml:space="preserve"> в §§ 5 и 6 допълнително затрудняват </w:t>
      </w:r>
      <w:r w:rsidR="00C70F24">
        <w:t>председателите и членовете на органите за управление на юридическите лица с нестопанска цел, които биват задължавани да подават декларации по реда на Закона за противодействие на корупцията и за отнемане на незаконно придобитото имущество</w:t>
      </w:r>
      <w:r w:rsidR="00923EE9">
        <w:t xml:space="preserve"> и по Закона за държавната финансова инспекция. Това е така, тъй като членовете на органите за </w:t>
      </w:r>
      <w:r w:rsidR="00923EE9">
        <w:lastRenderedPageBreak/>
        <w:t xml:space="preserve">управление са лица, които извършват тази дейност на доброволен принцип, членовете на органите за управление по презумпция не получават заплащане за дейността си, а участието им в НПО е често странично на основната им трудова дейност. </w:t>
      </w:r>
      <w:r w:rsidR="00DD4D40">
        <w:t xml:space="preserve">Да бъдат задължени лица по ЗПКОНПИ представлява прекомерна тежест, която цели да възпре хората да участват в управлението на НПО. Тази цел </w:t>
      </w:r>
      <w:r w:rsidR="00D87F7E">
        <w:t xml:space="preserve">противоречи на закона, тъй като по същество представлява нарушаване правото на лицата на сдружаване – свобода, защитена от Конституцията на страната </w:t>
      </w:r>
      <w:r w:rsidR="002F2DBA">
        <w:t xml:space="preserve">(чл. 44) </w:t>
      </w:r>
      <w:r w:rsidR="00D87F7E">
        <w:t>и от Европейската конвенция за защита правата на човека</w:t>
      </w:r>
      <w:r w:rsidR="0054642B">
        <w:t xml:space="preserve"> (чл. 11)</w:t>
      </w:r>
      <w:r w:rsidR="002F2DBA">
        <w:t xml:space="preserve">. Ограничението на права и свободи не могат да се прилагат с цел, различна от тази, за чието осъществяване са предвидени, съгласно чл. 18 на ЕКПЧ. </w:t>
      </w:r>
    </w:p>
    <w:p w14:paraId="227E82BE" w14:textId="6A6A6BAB" w:rsidR="007D058A" w:rsidRDefault="007D058A" w:rsidP="00673492">
      <w:pPr>
        <w:jc w:val="both"/>
      </w:pPr>
    </w:p>
    <w:p w14:paraId="0FB16540" w14:textId="19734F52" w:rsidR="007D058A" w:rsidRDefault="007D058A" w:rsidP="00BA4D82">
      <w:pPr>
        <w:ind w:firstLine="708"/>
        <w:jc w:val="both"/>
      </w:pPr>
      <w:r>
        <w:t xml:space="preserve">На следващо място, предложенията в </w:t>
      </w:r>
      <w:r w:rsidR="00595A3C">
        <w:t xml:space="preserve">§ 1 </w:t>
      </w:r>
      <w:r w:rsidR="002D1320">
        <w:t xml:space="preserve">и на §§ 5 и 6 </w:t>
      </w:r>
      <w:r w:rsidR="00595A3C">
        <w:t>на ЗИД на ЗЮЛНЦ се създава колизия между новите чл. чл. 40а и 40б със сега действащия чл. 44а</w:t>
      </w:r>
      <w:r w:rsidR="00F8732B">
        <w:t>, и между приложението на санкци</w:t>
      </w:r>
      <w:r w:rsidR="002D1320">
        <w:t>онните режими по</w:t>
      </w:r>
      <w:r w:rsidR="00F8732B">
        <w:t xml:space="preserve"> чл. 72 от Закона за счетоводството и </w:t>
      </w:r>
      <w:r w:rsidR="002D1320">
        <w:t>по</w:t>
      </w:r>
      <w:r w:rsidR="00F8732B">
        <w:t xml:space="preserve"> чл. 32 от Закона за държавната финансова инспекция</w:t>
      </w:r>
      <w:r w:rsidR="002D1320">
        <w:t>. В допълнение режимът на предлаганите текстове на чл. 40а и чл. 40б са по-рестриктивни, тъй като не е предвидена възможност за обжалване на дейст</w:t>
      </w:r>
      <w:r w:rsidR="00A06D9F">
        <w:t xml:space="preserve">вията на министъра на финансите, а това противоречи на основни принципи на правото. </w:t>
      </w:r>
    </w:p>
    <w:p w14:paraId="77B6A912" w14:textId="358115CB" w:rsidR="00A06D9F" w:rsidRPr="00D84D8D" w:rsidRDefault="00A06D9F" w:rsidP="00673492">
      <w:pPr>
        <w:jc w:val="both"/>
        <w:rPr>
          <w:b/>
        </w:rPr>
      </w:pPr>
    </w:p>
    <w:p w14:paraId="6CFB4B17" w14:textId="42AEBF4E" w:rsidR="00D84D8D" w:rsidRPr="00D84D8D" w:rsidRDefault="00D84D8D" w:rsidP="00BA4D82">
      <w:pPr>
        <w:ind w:firstLine="708"/>
        <w:jc w:val="both"/>
        <w:rPr>
          <w:b/>
        </w:rPr>
      </w:pPr>
      <w:r w:rsidRPr="00D84D8D">
        <w:rPr>
          <w:b/>
        </w:rPr>
        <w:t>Съвет за развитие на гражданското общество</w:t>
      </w:r>
    </w:p>
    <w:p w14:paraId="342DE922" w14:textId="2B621639" w:rsidR="00A06D9F" w:rsidRDefault="00A06D9F" w:rsidP="00BA4D82">
      <w:pPr>
        <w:ind w:firstLine="708"/>
        <w:jc w:val="both"/>
      </w:pPr>
      <w:r>
        <w:t xml:space="preserve">Не на последно място изключително притеснителни са предложенията в § 2 от ЗИД на ЗЮЛНЦ. </w:t>
      </w:r>
    </w:p>
    <w:p w14:paraId="39FAA6DD" w14:textId="77777777" w:rsidR="00BA4D82" w:rsidRDefault="00BA4D82" w:rsidP="00673492">
      <w:pPr>
        <w:jc w:val="both"/>
      </w:pPr>
    </w:p>
    <w:p w14:paraId="729308F8" w14:textId="434453E7" w:rsidR="00141623" w:rsidRDefault="00A06D9F" w:rsidP="00BA4D82">
      <w:pPr>
        <w:ind w:firstLine="708"/>
        <w:jc w:val="both"/>
      </w:pPr>
      <w:r>
        <w:t>Общоизвестно е, че Съветът за развитие на гражданското общество</w:t>
      </w:r>
      <w:r w:rsidR="009B4CC1">
        <w:t xml:space="preserve"> (СРГО)</w:t>
      </w:r>
      <w:r>
        <w:t xml:space="preserve"> беше избран чрез гласуване по електронен път</w:t>
      </w:r>
      <w:r w:rsidR="00BA6F24">
        <w:t xml:space="preserve"> неотдавна като апогей на десетгодишни усилия за създаването му.</w:t>
      </w:r>
      <w:r>
        <w:t xml:space="preserve"> </w:t>
      </w:r>
      <w:r w:rsidR="009B4CC1">
        <w:t>СРГО не е започнал дейност все още, но непосредствено след избирането на членовете в него, се появиха критики както към част от членовете, така и към процедурата по избор</w:t>
      </w:r>
      <w:r w:rsidR="00BA6F24">
        <w:t xml:space="preserve">, основно в близки до властта издания, </w:t>
      </w:r>
      <w:r w:rsidR="0046438C">
        <w:t>а председателят на КПОНП</w:t>
      </w:r>
      <w:r w:rsidR="00BA6F24">
        <w:t xml:space="preserve">И, Сотир Цацаров </w:t>
      </w:r>
      <w:r w:rsidR="00AF18DA">
        <w:t>внесе предложение в Министерски съвет за изменение на Правилника за организацията и дейността на СРГО</w:t>
      </w:r>
      <w:r w:rsidR="00AF18DA">
        <w:rPr>
          <w:rStyle w:val="FootnoteReference"/>
        </w:rPr>
        <w:footnoteReference w:id="2"/>
      </w:r>
      <w:r w:rsidR="009B4CC1">
        <w:t>.</w:t>
      </w:r>
      <w:r w:rsidR="00046BB5">
        <w:t xml:space="preserve"> Тези действия, съвпадащи по идеен замисъл с настоящия ЗИД са насочени към отнемане на правомощия на СРГО, без да има законосъобразен мотив за това. </w:t>
      </w:r>
      <w:r w:rsidR="00F15939">
        <w:t xml:space="preserve">Ако бъдат приети предложенията в § 1 от ЗИД на ЗЮЛНЦ би се обезсмислило съществуването на съвета, независимо как бъдат избирани неговите членове. </w:t>
      </w:r>
      <w:r w:rsidR="00141623">
        <w:t xml:space="preserve">Така СРГО би се присъединил в плеядата от съществуващи консултативни съвети към държавни органи и институции, които са изпразнени от съдържание. По този начин разпределянето на средства от държавния бюджет за неправителствени организации би останало изцяло на сянка, непрозрачно. </w:t>
      </w:r>
    </w:p>
    <w:p w14:paraId="378AC6D8" w14:textId="77777777" w:rsidR="00BA4D82" w:rsidRDefault="00BA4D82" w:rsidP="00673492">
      <w:pPr>
        <w:jc w:val="both"/>
      </w:pPr>
    </w:p>
    <w:p w14:paraId="2DF7F379" w14:textId="4748FD57" w:rsidR="00A06D9F" w:rsidRDefault="00F15939" w:rsidP="00BA4D82">
      <w:pPr>
        <w:ind w:firstLine="708"/>
        <w:jc w:val="both"/>
      </w:pPr>
      <w:r>
        <w:lastRenderedPageBreak/>
        <w:t>В сега действащия режим СРГ</w:t>
      </w:r>
      <w:r w:rsidR="00610BDB">
        <w:t>О не би разпределял цялата сума, предназначена за неправителствения сектор от държавния бюджет</w:t>
      </w:r>
      <w:r w:rsidR="00632F45">
        <w:t xml:space="preserve"> - </w:t>
      </w:r>
      <w:r w:rsidR="00632F45">
        <w:rPr>
          <w:color w:val="000000"/>
        </w:rPr>
        <w:t>98 152,3 лв. (вж. Закон за държавния бюджет на Република България за 2020 г.)</w:t>
      </w:r>
      <w:r w:rsidR="00610BDB">
        <w:t>, а една изклю</w:t>
      </w:r>
      <w:r w:rsidR="00632F45">
        <w:t xml:space="preserve">чително малка част от </w:t>
      </w:r>
      <w:r w:rsidR="00C56A74">
        <w:t>нея</w:t>
      </w:r>
      <w:r w:rsidR="00632F45">
        <w:t>, тъй като основната част от сумата (приблизително 97 млн лв.) ще бъдат разпределяни от министерствата</w:t>
      </w:r>
      <w:r w:rsidR="00BA4D82">
        <w:t xml:space="preserve"> по пера</w:t>
      </w:r>
      <w:r w:rsidR="00632F45">
        <w:t xml:space="preserve">, без да има изисквания за прозрачност при избора на юридически лица с нестопанска цел, които да получат държавна субсидия. </w:t>
      </w:r>
      <w:r w:rsidR="00C56A74">
        <w:t>При това положение на обхвата на дейност на СРГО и по сега действащия режим е най-малкото неоправдано да се отнемат и тези малки правомощия на съвета.</w:t>
      </w:r>
      <w:r w:rsidR="00F41B92">
        <w:t xml:space="preserve"> Така държавата абдикира напълно от подкрепа на гражданския сектор.</w:t>
      </w:r>
      <w:r w:rsidR="00C56A74">
        <w:t xml:space="preserve"> </w:t>
      </w:r>
    </w:p>
    <w:p w14:paraId="7A38DF08" w14:textId="77777777" w:rsidR="00BA4D82" w:rsidRDefault="00BA4D82" w:rsidP="00673492">
      <w:pPr>
        <w:jc w:val="both"/>
      </w:pPr>
    </w:p>
    <w:p w14:paraId="78D2E1C0" w14:textId="1BADDF27" w:rsidR="00C56A74" w:rsidRDefault="00C56A74" w:rsidP="00BA4D82">
      <w:pPr>
        <w:ind w:firstLine="708"/>
        <w:jc w:val="both"/>
      </w:pPr>
      <w:r>
        <w:t>Въпреки че се предвижда отнемането на възможността за разпределяне на средства</w:t>
      </w:r>
      <w:r w:rsidR="00E46AA7">
        <w:t xml:space="preserve"> (чрез отмяната на чл. 4, ал. 4, т. 11 от ЗЮЛНЦ)</w:t>
      </w:r>
      <w:r>
        <w:t xml:space="preserve">, отмяната на </w:t>
      </w:r>
      <w:r w:rsidR="0082378F">
        <w:t xml:space="preserve">част от </w:t>
      </w:r>
      <w:r>
        <w:t xml:space="preserve">чл. 4, ал. 11 от ЗЮЛНЦ е притеснителна сама по себе си. Отмяната на </w:t>
      </w:r>
      <w:r w:rsidR="0082378F">
        <w:t xml:space="preserve">тази част създава възможност членовете на СРГО да разпределят средства сами на себе си без преди това да е извършена преценка на ефективността на съответното юридическо лица или на дейността, която извършва. Това противоречи </w:t>
      </w:r>
      <w:r w:rsidR="00352551">
        <w:t xml:space="preserve">на </w:t>
      </w:r>
      <w:r w:rsidR="0082378F">
        <w:t xml:space="preserve">основни демократични начала </w:t>
      </w:r>
    </w:p>
    <w:p w14:paraId="667F0985" w14:textId="329D0E5B" w:rsidR="00C56A74" w:rsidRDefault="00C56A74" w:rsidP="00673492">
      <w:pPr>
        <w:jc w:val="both"/>
      </w:pPr>
    </w:p>
    <w:p w14:paraId="0F5D7857" w14:textId="2EF009D5" w:rsidR="00B325CD" w:rsidRDefault="00C56A74" w:rsidP="000E46E9">
      <w:pPr>
        <w:ind w:firstLine="708"/>
        <w:jc w:val="both"/>
      </w:pPr>
      <w:r>
        <w:t xml:space="preserve">По </w:t>
      </w:r>
      <w:r w:rsidR="00C20CCC">
        <w:t>гореизложените</w:t>
      </w:r>
      <w:r>
        <w:t xml:space="preserve"> причини </w:t>
      </w:r>
      <w:r w:rsidR="00C20CCC">
        <w:t>приемането</w:t>
      </w:r>
      <w:r>
        <w:t xml:space="preserve"> на </w:t>
      </w:r>
      <w:r w:rsidR="002D3B99">
        <w:t>т</w:t>
      </w:r>
      <w:r w:rsidR="002E6901">
        <w:t>ук обсъждания</w:t>
      </w:r>
      <w:r w:rsidR="002D3B99">
        <w:t xml:space="preserve"> ЗИД на ЗЮЛНЦ</w:t>
      </w:r>
      <w:r w:rsidR="002D3B99" w:rsidRPr="002D3B99">
        <w:t xml:space="preserve"> ще доведе до тежко нарушаване </w:t>
      </w:r>
      <w:r w:rsidR="002D3B99">
        <w:t xml:space="preserve">на </w:t>
      </w:r>
      <w:r w:rsidR="002D3B99" w:rsidRPr="002D3B99">
        <w:t xml:space="preserve">правото на </w:t>
      </w:r>
      <w:r w:rsidR="002E6901">
        <w:t>сдружаване на българските граждани.</w:t>
      </w:r>
      <w:r w:rsidR="00C20CCC">
        <w:t xml:space="preserve"> Самото внасяне на т</w:t>
      </w:r>
      <w:r w:rsidR="002E6901">
        <w:t xml:space="preserve">ози законопроект издава голямата тревога, която властта има от дейността на неправителствените организации, които са се превърнали в единствен коректив и единствен критик на </w:t>
      </w:r>
      <w:r w:rsidR="000E46E9">
        <w:t xml:space="preserve">нейната дейност. </w:t>
      </w:r>
      <w:r w:rsidR="00673492">
        <w:t xml:space="preserve">По тази причина Ви призовавам да </w:t>
      </w:r>
      <w:r w:rsidR="00B325CD">
        <w:t xml:space="preserve">не приемате </w:t>
      </w:r>
      <w:r w:rsidR="00B325CD" w:rsidRPr="00B325CD">
        <w:t>Законопроект за изменение и допълнение на Закона за юридическите лица с нестопанска цел с № 054-01-60/01.07.2020 г.</w:t>
      </w:r>
    </w:p>
    <w:p w14:paraId="5BEA5286" w14:textId="476CCDF3" w:rsidR="000E46E9" w:rsidRDefault="000E46E9" w:rsidP="000E46E9">
      <w:pPr>
        <w:ind w:firstLine="708"/>
        <w:jc w:val="both"/>
      </w:pPr>
    </w:p>
    <w:p w14:paraId="3425B301" w14:textId="2550EB08" w:rsidR="000E46E9" w:rsidRDefault="000E46E9" w:rsidP="000E46E9">
      <w:pPr>
        <w:ind w:firstLine="708"/>
        <w:jc w:val="both"/>
      </w:pPr>
    </w:p>
    <w:p w14:paraId="2C555831" w14:textId="0D93CF74" w:rsidR="000E46E9" w:rsidRDefault="000E46E9" w:rsidP="000E46E9">
      <w:pPr>
        <w:jc w:val="both"/>
      </w:pPr>
      <w:r>
        <w:t>06.07.2020 г.</w:t>
      </w:r>
      <w:r>
        <w:tab/>
      </w:r>
      <w:r>
        <w:tab/>
      </w:r>
      <w:r>
        <w:tab/>
      </w:r>
      <w:r>
        <w:tab/>
      </w:r>
      <w:r>
        <w:tab/>
      </w:r>
      <w:r>
        <w:tab/>
        <w:t>С уважение,</w:t>
      </w:r>
    </w:p>
    <w:p w14:paraId="7A8A46BD" w14:textId="6564D9EE" w:rsidR="000E46E9" w:rsidRPr="008263E1" w:rsidRDefault="000E46E9" w:rsidP="000E46E9">
      <w:pPr>
        <w:jc w:val="both"/>
      </w:pPr>
      <w:r>
        <w:t>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/адв. А. Качаунова/</w:t>
      </w:r>
    </w:p>
    <w:sectPr w:rsidR="000E46E9" w:rsidRPr="008263E1" w:rsidSect="0089648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D2877" w14:textId="77777777" w:rsidR="005D45BA" w:rsidRDefault="005D45BA" w:rsidP="009B2599">
      <w:pPr>
        <w:spacing w:line="240" w:lineRule="auto"/>
      </w:pPr>
      <w:r>
        <w:separator/>
      </w:r>
    </w:p>
  </w:endnote>
  <w:endnote w:type="continuationSeparator" w:id="0">
    <w:p w14:paraId="065F51B1" w14:textId="77777777" w:rsidR="005D45BA" w:rsidRDefault="005D45BA" w:rsidP="009B25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A4DD3" w14:textId="77777777" w:rsidR="00E358D0" w:rsidRDefault="00EC261E">
    <w:pPr>
      <w:pStyle w:val="Footer"/>
    </w:pPr>
    <w:r>
      <w:rPr>
        <w:noProof/>
        <w:lang w:val="en-US"/>
      </w:rPr>
      <w:drawing>
        <wp:inline distT="0" distB="0" distL="0" distR="0" wp14:anchorId="3156CCA4" wp14:editId="69F572B6">
          <wp:extent cx="5760720" cy="2368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HC_document_footer_B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3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6074E" w14:textId="77777777" w:rsidR="00896488" w:rsidRDefault="00EC261E">
    <w:pPr>
      <w:pStyle w:val="Footer"/>
    </w:pPr>
    <w:r>
      <w:rPr>
        <w:noProof/>
        <w:lang w:val="en-US"/>
      </w:rPr>
      <w:drawing>
        <wp:inline distT="0" distB="0" distL="0" distR="0" wp14:anchorId="1B329541" wp14:editId="7E94A33E">
          <wp:extent cx="5760720" cy="2368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HC_document_footer_B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36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3A9DA" w14:textId="77777777" w:rsidR="005D45BA" w:rsidRDefault="005D45BA" w:rsidP="009B2599">
      <w:pPr>
        <w:spacing w:line="240" w:lineRule="auto"/>
      </w:pPr>
      <w:r>
        <w:separator/>
      </w:r>
    </w:p>
  </w:footnote>
  <w:footnote w:type="continuationSeparator" w:id="0">
    <w:p w14:paraId="6748CC9C" w14:textId="77777777" w:rsidR="005D45BA" w:rsidRDefault="005D45BA" w:rsidP="009B2599">
      <w:pPr>
        <w:spacing w:line="240" w:lineRule="auto"/>
      </w:pPr>
      <w:r>
        <w:continuationSeparator/>
      </w:r>
    </w:p>
  </w:footnote>
  <w:footnote w:id="1">
    <w:p w14:paraId="555D6D9B" w14:textId="4760D5A6" w:rsidR="00D35920" w:rsidRDefault="00D35920">
      <w:pPr>
        <w:pStyle w:val="FootnoteText"/>
      </w:pPr>
      <w:r>
        <w:rPr>
          <w:rStyle w:val="FootnoteReference"/>
        </w:rPr>
        <w:footnoteRef/>
      </w:r>
      <w:r>
        <w:t xml:space="preserve"> Достъпно в Интернет на адрес: </w:t>
      </w:r>
      <w:hyperlink r:id="rId1" w:history="1">
        <w:r w:rsidR="00BF26EB" w:rsidRPr="00C62466">
          <w:rPr>
            <w:rStyle w:val="Hyperlink"/>
          </w:rPr>
          <w:t>http://curia.europa.eu/juris/document/document.jsf?text=&amp;docid=227569&amp;pageIndex=0&amp;doclang=BG&amp;mode=lst&amp;dir=&amp;occ=first&amp;part=1&amp;cid=7763571</w:t>
        </w:r>
      </w:hyperlink>
      <w:r w:rsidR="00BF26EB">
        <w:t>.</w:t>
      </w:r>
    </w:p>
  </w:footnote>
  <w:footnote w:id="2">
    <w:p w14:paraId="4F858088" w14:textId="2B0BACAA" w:rsidR="00AF18DA" w:rsidRDefault="00AF18DA">
      <w:pPr>
        <w:pStyle w:val="FootnoteText"/>
      </w:pPr>
      <w:r>
        <w:rPr>
          <w:rStyle w:val="FootnoteReference"/>
        </w:rPr>
        <w:footnoteRef/>
      </w:r>
      <w:r>
        <w:t xml:space="preserve"> Вж. повече на: </w:t>
      </w:r>
      <w:hyperlink r:id="rId2" w:history="1">
        <w:r w:rsidRPr="002A51E0">
          <w:rPr>
            <w:rStyle w:val="Hyperlink"/>
          </w:rPr>
          <w:t>http://www.ciaf.government.bg/news/view/kpkonpi-otpravi-predlojenie-do-ministerski-ja-syvet-za-priemane-na-izmeneni-ja-v-pravilnika-za-organizaci-ja-ta-i-dejnostta-na-syveta-za-razvitie-na-grajdanskoto-ob-sht-estvo-495/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C20AA" w14:textId="77777777" w:rsidR="00896488" w:rsidRDefault="00814DCA">
    <w:pPr>
      <w:pStyle w:val="Header"/>
    </w:pPr>
    <w:r>
      <w:rPr>
        <w:noProof/>
        <w:lang w:val="en-US"/>
      </w:rPr>
      <w:drawing>
        <wp:inline distT="0" distB="0" distL="0" distR="0" wp14:anchorId="083EA6BB" wp14:editId="668F1C03">
          <wp:extent cx="5760720" cy="910590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HC_document_header_BG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3DFB9D" w14:textId="77777777" w:rsidR="009159BB" w:rsidRDefault="009159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EFC"/>
    <w:multiLevelType w:val="hybridMultilevel"/>
    <w:tmpl w:val="BEA65A2E"/>
    <w:lvl w:ilvl="0" w:tplc="2486B13E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wZL8GWjMgRAKGvrU199ZVG8hxDagxpmyddvAFmhfzp1zy6tCklFS04mIQDViHKtn5kzWzDWJFHe77VQf3MmABA==" w:salt="eqanUl7LajT9Ire1Zskg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E1"/>
    <w:rsid w:val="00046BB5"/>
    <w:rsid w:val="00073234"/>
    <w:rsid w:val="00087925"/>
    <w:rsid w:val="00091B00"/>
    <w:rsid w:val="000B2097"/>
    <w:rsid w:val="000B228F"/>
    <w:rsid w:val="000E46E9"/>
    <w:rsid w:val="000E723D"/>
    <w:rsid w:val="000F424B"/>
    <w:rsid w:val="000F57EA"/>
    <w:rsid w:val="00141623"/>
    <w:rsid w:val="001448C1"/>
    <w:rsid w:val="00153F88"/>
    <w:rsid w:val="001813F1"/>
    <w:rsid w:val="0018610A"/>
    <w:rsid w:val="001A29B9"/>
    <w:rsid w:val="001B08D7"/>
    <w:rsid w:val="001C381B"/>
    <w:rsid w:val="001D2557"/>
    <w:rsid w:val="001E0155"/>
    <w:rsid w:val="00224EFA"/>
    <w:rsid w:val="00243AF0"/>
    <w:rsid w:val="0027054F"/>
    <w:rsid w:val="002D1320"/>
    <w:rsid w:val="002D3B99"/>
    <w:rsid w:val="002E4933"/>
    <w:rsid w:val="002E6901"/>
    <w:rsid w:val="002F2DBA"/>
    <w:rsid w:val="002F34B1"/>
    <w:rsid w:val="002F7582"/>
    <w:rsid w:val="00315016"/>
    <w:rsid w:val="00343E33"/>
    <w:rsid w:val="00352551"/>
    <w:rsid w:val="003C20B2"/>
    <w:rsid w:val="003D6A80"/>
    <w:rsid w:val="00414DFB"/>
    <w:rsid w:val="0046438C"/>
    <w:rsid w:val="004B16BD"/>
    <w:rsid w:val="004F6305"/>
    <w:rsid w:val="005111CB"/>
    <w:rsid w:val="00543062"/>
    <w:rsid w:val="0054642B"/>
    <w:rsid w:val="00564E81"/>
    <w:rsid w:val="005861E5"/>
    <w:rsid w:val="00595A3C"/>
    <w:rsid w:val="005C7DB0"/>
    <w:rsid w:val="005D45BA"/>
    <w:rsid w:val="005F005C"/>
    <w:rsid w:val="00605022"/>
    <w:rsid w:val="00610BDB"/>
    <w:rsid w:val="00632F45"/>
    <w:rsid w:val="00652918"/>
    <w:rsid w:val="00656178"/>
    <w:rsid w:val="00673492"/>
    <w:rsid w:val="006C17C4"/>
    <w:rsid w:val="006E158B"/>
    <w:rsid w:val="006E4B3A"/>
    <w:rsid w:val="00755B9A"/>
    <w:rsid w:val="00775B4B"/>
    <w:rsid w:val="0077799D"/>
    <w:rsid w:val="007A5CEF"/>
    <w:rsid w:val="007C34CB"/>
    <w:rsid w:val="007D01BD"/>
    <w:rsid w:val="007D058A"/>
    <w:rsid w:val="007D2A47"/>
    <w:rsid w:val="007E1548"/>
    <w:rsid w:val="00814DCA"/>
    <w:rsid w:val="0082378F"/>
    <w:rsid w:val="008263E1"/>
    <w:rsid w:val="0084380F"/>
    <w:rsid w:val="00884538"/>
    <w:rsid w:val="00894365"/>
    <w:rsid w:val="00896488"/>
    <w:rsid w:val="008A4F7E"/>
    <w:rsid w:val="008C6328"/>
    <w:rsid w:val="008D597F"/>
    <w:rsid w:val="008E537A"/>
    <w:rsid w:val="008E5E11"/>
    <w:rsid w:val="008F3C2F"/>
    <w:rsid w:val="009159BB"/>
    <w:rsid w:val="00923EE9"/>
    <w:rsid w:val="00933C8D"/>
    <w:rsid w:val="0096733D"/>
    <w:rsid w:val="00985BC5"/>
    <w:rsid w:val="009B2599"/>
    <w:rsid w:val="009B4CC1"/>
    <w:rsid w:val="009D5094"/>
    <w:rsid w:val="009D55E7"/>
    <w:rsid w:val="00A06D9F"/>
    <w:rsid w:val="00A37FD1"/>
    <w:rsid w:val="00A53784"/>
    <w:rsid w:val="00A61419"/>
    <w:rsid w:val="00A705AB"/>
    <w:rsid w:val="00A715F0"/>
    <w:rsid w:val="00A930F0"/>
    <w:rsid w:val="00AC3DBE"/>
    <w:rsid w:val="00AC59B0"/>
    <w:rsid w:val="00AE707D"/>
    <w:rsid w:val="00AF18DA"/>
    <w:rsid w:val="00AF76AD"/>
    <w:rsid w:val="00B325CD"/>
    <w:rsid w:val="00BA4D82"/>
    <w:rsid w:val="00BA66ED"/>
    <w:rsid w:val="00BA6F24"/>
    <w:rsid w:val="00BD1892"/>
    <w:rsid w:val="00BD3A75"/>
    <w:rsid w:val="00BF26EB"/>
    <w:rsid w:val="00C06DEA"/>
    <w:rsid w:val="00C1066B"/>
    <w:rsid w:val="00C11DDF"/>
    <w:rsid w:val="00C20CCC"/>
    <w:rsid w:val="00C34ED1"/>
    <w:rsid w:val="00C56A74"/>
    <w:rsid w:val="00C64AE9"/>
    <w:rsid w:val="00C70F24"/>
    <w:rsid w:val="00CA35C0"/>
    <w:rsid w:val="00CF322B"/>
    <w:rsid w:val="00D35920"/>
    <w:rsid w:val="00D667D8"/>
    <w:rsid w:val="00D7680A"/>
    <w:rsid w:val="00D84D8D"/>
    <w:rsid w:val="00D87F7E"/>
    <w:rsid w:val="00DA5BE2"/>
    <w:rsid w:val="00DC6F1A"/>
    <w:rsid w:val="00DD4D40"/>
    <w:rsid w:val="00DE5243"/>
    <w:rsid w:val="00E358D0"/>
    <w:rsid w:val="00E46AA7"/>
    <w:rsid w:val="00E5691C"/>
    <w:rsid w:val="00E65DC0"/>
    <w:rsid w:val="00EB1216"/>
    <w:rsid w:val="00EC261E"/>
    <w:rsid w:val="00EE108D"/>
    <w:rsid w:val="00EF390A"/>
    <w:rsid w:val="00F15939"/>
    <w:rsid w:val="00F208A3"/>
    <w:rsid w:val="00F214E9"/>
    <w:rsid w:val="00F23F6A"/>
    <w:rsid w:val="00F33415"/>
    <w:rsid w:val="00F41B92"/>
    <w:rsid w:val="00F4350B"/>
    <w:rsid w:val="00F51F5B"/>
    <w:rsid w:val="00F520F4"/>
    <w:rsid w:val="00F8732B"/>
    <w:rsid w:val="00FA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BF4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305"/>
    <w:pPr>
      <w:keepNext/>
      <w:keepLines/>
      <w:numPr>
        <w:numId w:val="1"/>
      </w:numPr>
      <w:spacing w:after="120"/>
      <w:ind w:left="714" w:hanging="357"/>
      <w:outlineLvl w:val="0"/>
    </w:pPr>
    <w:rPr>
      <w:rFonts w:asciiTheme="majorBidi" w:eastAsiaTheme="majorEastAsia" w:hAnsiTheme="majorBidi" w:cstheme="majorBidi"/>
      <w:b/>
      <w:smallCaps/>
      <w:color w:val="000000" w:themeColor="text1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59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99"/>
  </w:style>
  <w:style w:type="paragraph" w:styleId="Footer">
    <w:name w:val="footer"/>
    <w:basedOn w:val="Normal"/>
    <w:link w:val="FooterChar"/>
    <w:uiPriority w:val="99"/>
    <w:unhideWhenUsed/>
    <w:rsid w:val="009B259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99"/>
  </w:style>
  <w:style w:type="paragraph" w:styleId="BalloonText">
    <w:name w:val="Balloon Text"/>
    <w:basedOn w:val="Normal"/>
    <w:link w:val="BalloonTextChar"/>
    <w:uiPriority w:val="99"/>
    <w:semiHidden/>
    <w:unhideWhenUsed/>
    <w:rsid w:val="009B2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6305"/>
    <w:rPr>
      <w:rFonts w:asciiTheme="majorBidi" w:eastAsiaTheme="majorEastAsia" w:hAnsiTheme="majorBidi" w:cstheme="majorBidi"/>
      <w:b/>
      <w:smallCaps/>
      <w:color w:val="000000" w:themeColor="text1"/>
      <w:sz w:val="28"/>
      <w:szCs w:val="3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9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9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9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26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26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305"/>
    <w:pPr>
      <w:keepNext/>
      <w:keepLines/>
      <w:numPr>
        <w:numId w:val="1"/>
      </w:numPr>
      <w:spacing w:after="120"/>
      <w:ind w:left="714" w:hanging="357"/>
      <w:outlineLvl w:val="0"/>
    </w:pPr>
    <w:rPr>
      <w:rFonts w:asciiTheme="majorBidi" w:eastAsiaTheme="majorEastAsia" w:hAnsiTheme="majorBidi" w:cstheme="majorBidi"/>
      <w:b/>
      <w:smallCaps/>
      <w:color w:val="000000" w:themeColor="text1"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59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599"/>
  </w:style>
  <w:style w:type="paragraph" w:styleId="Footer">
    <w:name w:val="footer"/>
    <w:basedOn w:val="Normal"/>
    <w:link w:val="FooterChar"/>
    <w:uiPriority w:val="99"/>
    <w:unhideWhenUsed/>
    <w:rsid w:val="009B259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599"/>
  </w:style>
  <w:style w:type="paragraph" w:styleId="BalloonText">
    <w:name w:val="Balloon Text"/>
    <w:basedOn w:val="Normal"/>
    <w:link w:val="BalloonTextChar"/>
    <w:uiPriority w:val="99"/>
    <w:semiHidden/>
    <w:unhideWhenUsed/>
    <w:rsid w:val="009B25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9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F6305"/>
    <w:rPr>
      <w:rFonts w:asciiTheme="majorBidi" w:eastAsiaTheme="majorEastAsia" w:hAnsiTheme="majorBidi" w:cstheme="majorBidi"/>
      <w:b/>
      <w:smallCaps/>
      <w:color w:val="000000" w:themeColor="text1"/>
      <w:sz w:val="28"/>
      <w:szCs w:val="3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592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9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9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26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2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af.government.bg/news/view/kpkonpi-otpravi-predlojenie-do-ministerski-ja-syvet-za-priemane-na-izmeneni-ja-v-pravilnika-za-organizaci-ja-ta-i-dejnostta-na-syveta-za-razvitie-na-grajdanskoto-ob-sht-estvo-495/" TargetMode="External"/><Relationship Id="rId1" Type="http://schemas.openxmlformats.org/officeDocument/2006/relationships/hyperlink" Target="http://curia.europa.eu/juris/document/document.jsf?text=&amp;docid=227569&amp;pageIndex=0&amp;doclang=BG&amp;mode=lst&amp;dir=&amp;occ=first&amp;part=1&amp;cid=77635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BHC%20document%20B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CDF6F-B7E0-4F1C-80B6-C1D8DD56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BHC document BG</Template>
  <TotalTime>0</TotalTime>
  <Pages>5</Pages>
  <Words>1464</Words>
  <Characters>8350</Characters>
  <Application>Microsoft Office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Helsinki Committee</Company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 Stoyanov</dc:creator>
  <cp:lastModifiedBy>Office</cp:lastModifiedBy>
  <cp:revision>2</cp:revision>
  <cp:lastPrinted>2017-09-12T15:11:00Z</cp:lastPrinted>
  <dcterms:created xsi:type="dcterms:W3CDTF">2020-07-07T16:57:00Z</dcterms:created>
  <dcterms:modified xsi:type="dcterms:W3CDTF">2020-07-07T16:57:00Z</dcterms:modified>
</cp:coreProperties>
</file>